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47"/>
        </w:tabs>
        <w:spacing w:after="120" w:afterLines="50"/>
        <w:jc w:val="left"/>
        <w:rPr>
          <w:rFonts w:ascii="黑体" w:hAnsi="黑体" w:eastAsia="黑体" w:cs="仿宋_GB2312"/>
          <w:bCs/>
          <w:color w:val="000000"/>
          <w:kern w:val="0"/>
          <w:sz w:val="32"/>
          <w:szCs w:val="36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6"/>
          <w:lang w:eastAsia="zh-CN"/>
        </w:rPr>
        <w:tab/>
      </w: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6"/>
        </w:rPr>
        <w:t>附件1-</w:t>
      </w:r>
      <w:r>
        <w:rPr>
          <w:rFonts w:ascii="黑体" w:hAnsi="黑体" w:eastAsia="黑体" w:cs="仿宋_GB2312"/>
          <w:bCs/>
          <w:color w:val="000000"/>
          <w:kern w:val="0"/>
          <w:sz w:val="32"/>
          <w:szCs w:val="36"/>
        </w:rPr>
        <w:t>7</w:t>
      </w:r>
    </w:p>
    <w:p>
      <w:pPr>
        <w:tabs>
          <w:tab w:val="left" w:pos="2803"/>
        </w:tabs>
        <w:jc w:val="left"/>
        <w:rPr>
          <w:rFonts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bCs/>
          <w:kern w:val="0"/>
          <w:sz w:val="44"/>
          <w:szCs w:val="44"/>
          <w:lang w:eastAsia="zh-CN"/>
        </w:rPr>
        <w:tab/>
      </w:r>
      <w:r>
        <w:rPr>
          <w:rFonts w:hint="eastAsia" w:ascii="方正小标宋简体" w:hAnsi="宋体" w:eastAsia="方正小标宋简体" w:cs="仿宋_GB2312"/>
          <w:bCs/>
          <w:color w:val="000000"/>
          <w:kern w:val="0"/>
          <w:sz w:val="44"/>
          <w:szCs w:val="36"/>
        </w:rPr>
        <w:t>食品经营许可现场核查表</w:t>
      </w:r>
    </w:p>
    <w:p>
      <w:pPr>
        <w:jc w:val="center"/>
        <w:rPr>
          <w:rFonts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bCs/>
          <w:kern w:val="0"/>
          <w:sz w:val="44"/>
          <w:szCs w:val="44"/>
        </w:rPr>
        <w:t>（</w:t>
      </w:r>
      <w:r>
        <w:rPr>
          <w:rFonts w:hint="eastAsia" w:ascii="方正小标宋简体" w:hAnsi="宋体" w:eastAsia="方正小标宋简体" w:cs="仿宋_GB2312"/>
          <w:bCs/>
          <w:color w:val="000000"/>
          <w:kern w:val="0"/>
          <w:sz w:val="44"/>
          <w:szCs w:val="36"/>
        </w:rPr>
        <w:t>专间</w:t>
      </w:r>
      <w:r>
        <w:rPr>
          <w:rFonts w:hint="eastAsia" w:ascii="方正小标宋简体" w:hAnsi="宋体" w:eastAsia="方正小标宋简体" w:cs="仿宋_GB2312"/>
          <w:bCs/>
          <w:kern w:val="0"/>
          <w:sz w:val="44"/>
          <w:szCs w:val="44"/>
        </w:rPr>
        <w:t>）</w:t>
      </w:r>
    </w:p>
    <w:p>
      <w:pPr>
        <w:spacing w:after="120" w:afterLines="50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spacing w:after="120" w:afterLines="50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spacing w:after="120" w:afterLines="50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spacing w:after="120" w:afterLines="50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spacing w:after="120" w:afterLines="50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spacing w:after="120" w:afterLines="50"/>
        <w:ind w:firstLine="1807" w:firstLineChars="500"/>
        <w:rPr>
          <w:rFonts w:ascii="仿宋_GB2312" w:hAnsi="宋体" w:eastAsia="仿宋_GB2312" w:cs="仿宋_GB2312"/>
          <w:b/>
          <w:bCs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6"/>
          <w:szCs w:val="36"/>
        </w:rPr>
        <w:t>单位名称：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  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 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  </w:t>
      </w:r>
    </w:p>
    <w:p>
      <w:pPr>
        <w:spacing w:after="120" w:afterLines="50"/>
        <w:ind w:firstLine="1807" w:firstLineChars="500"/>
        <w:rPr>
          <w:rFonts w:ascii="仿宋_GB2312" w:hAnsi="宋体" w:eastAsia="仿宋_GB2312" w:cs="仿宋_GB2312"/>
          <w:b/>
          <w:bCs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6"/>
          <w:szCs w:val="36"/>
        </w:rPr>
        <w:t>地    址：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 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    </w:t>
      </w:r>
    </w:p>
    <w:p>
      <w:pPr>
        <w:spacing w:after="120" w:afterLines="50"/>
        <w:ind w:firstLine="1807" w:firstLineChars="500"/>
        <w:rPr>
          <w:rFonts w:ascii="方正小标宋简体" w:hAnsi="宋体" w:eastAsia="方正小标宋简体" w:cs="仿宋_GB2312"/>
          <w:bCs/>
          <w:kern w:val="0"/>
          <w:sz w:val="44"/>
          <w:szCs w:val="44"/>
        </w:rPr>
        <w:sectPr>
          <w:pgSz w:w="16839" w:h="11907" w:orient="landscape"/>
          <w:pgMar w:top="1588" w:right="2098" w:bottom="1474" w:left="1985" w:header="720" w:footer="720" w:gutter="0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仿宋_GB2312"/>
          <w:b/>
          <w:bCs/>
          <w:kern w:val="0"/>
          <w:sz w:val="36"/>
          <w:szCs w:val="36"/>
        </w:rPr>
        <w:t>核查日期：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  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 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  </w:t>
      </w:r>
    </w:p>
    <w:tbl>
      <w:tblPr>
        <w:tblStyle w:val="3"/>
        <w:tblW w:w="49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6"/>
        <w:gridCol w:w="627"/>
        <w:gridCol w:w="951"/>
        <w:gridCol w:w="779"/>
        <w:gridCol w:w="902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225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Cs w:val="21"/>
              </w:rPr>
              <w:t>核查和评价方法</w:t>
            </w:r>
          </w:p>
        </w:tc>
        <w:tc>
          <w:tcPr>
            <w:tcW w:w="244" w:type="pct"/>
            <w:vMerge w:val="restart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370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Cs w:val="21"/>
              </w:rPr>
              <w:t>重要性</w:t>
            </w:r>
          </w:p>
        </w:tc>
        <w:tc>
          <w:tcPr>
            <w:tcW w:w="1160" w:type="pct"/>
            <w:gridSpan w:val="3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Cs w:val="21"/>
              </w:rPr>
              <w:t>结果判定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225" w:type="pct"/>
            <w:vMerge w:val="continue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4" w:type="pct"/>
            <w:vMerge w:val="continue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0" w:type="pct"/>
            <w:vMerge w:val="continue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3" w:type="pct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Cs w:val="21"/>
              </w:rPr>
              <w:t>符合</w:t>
            </w:r>
          </w:p>
        </w:tc>
        <w:tc>
          <w:tcPr>
            <w:tcW w:w="351" w:type="pct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Cs w:val="21"/>
              </w:rPr>
              <w:t>不符合</w:t>
            </w:r>
          </w:p>
        </w:tc>
        <w:tc>
          <w:tcPr>
            <w:tcW w:w="505" w:type="pct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Cs w:val="21"/>
              </w:rPr>
              <w:t>合理缺项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225" w:type="pc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专间入口处应当设置独立的洗手、消毒、更衣设施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0" w:type="pct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**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不得缺项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3225" w:type="pc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普通餐饮和集体食堂进行冷荤类食品制售、冷加工糕点制售、生食类食品制售，制售过程中需要分餐的，应设置相应操作专间。各类专间面积应与加工食品品种和数量相适应，均应≥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㎡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0" w:type="pct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**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不得缺项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3225" w:type="pc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专间面积≥食品处理区面积的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10%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0" w:type="pct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*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不得缺项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3225" w:type="pc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eastAsia="zh-CN"/>
              </w:rPr>
              <w:t>荤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类食品专间面积应与加工食品品种和数量相适应，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以下的≥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（含5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，如与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eastAsia="zh-CN"/>
              </w:rPr>
              <w:t>冷加工糕点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共用专间，则必须≥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，且明确分区）；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～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1500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（含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1500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）的≥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；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1500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～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（含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）的≥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；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以上的≥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㎡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0" w:type="pct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**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2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应设置专用冷藏设施、调温设施，配备环境温度计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0" w:type="pct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**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不得缺项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2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专间墙壁应铺设到顶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0" w:type="pct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*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不得缺项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225" w:type="pc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应设置可开闭式食品传递窗口，除传递窗口和人员通道外，不设置其他可开闭的门窗；门应能自动关闭，门、窗应闭合严密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0" w:type="pct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*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不得缺项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225" w:type="pc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废弃物容器盖子为非手动开启式；排水不得设置明沟，地漏带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水封，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应能防止废弃物流入及浊气逸出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0" w:type="pct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**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不得缺项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3225" w:type="pct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至少设置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个水池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70" w:type="pct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**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不得缺项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225" w:type="pct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设置空气消毒设施；设置紫外线消毒的，灯管应距地面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以内，并配有反光罩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0" w:type="pct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**</w:t>
            </w:r>
          </w:p>
        </w:tc>
        <w:tc>
          <w:tcPr>
            <w:tcW w:w="303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不得缺项</w:t>
            </w:r>
          </w:p>
        </w:tc>
      </w:tr>
    </w:tbl>
    <w:p>
      <w:pPr>
        <w:ind w:firstLine="840" w:firstLineChars="400"/>
        <w:rPr>
          <w:rFonts w:ascii="仿宋_GB2312" w:eastAsia="仿宋_GB2312"/>
          <w:color w:val="000000"/>
        </w:rPr>
      </w:pPr>
      <w:r>
        <w:rPr>
          <w:rFonts w:hint="eastAsia" w:ascii="仿宋_GB2312" w:eastAsia="仿宋_GB2312" w:cs="仿宋_GB2312"/>
          <w:color w:val="000000"/>
        </w:rPr>
        <w:t>本核查表共</w:t>
      </w:r>
      <w:r>
        <w:rPr>
          <w:rFonts w:ascii="仿宋_GB2312" w:eastAsia="仿宋_GB2312" w:cs="仿宋_GB2312"/>
          <w:color w:val="000000"/>
        </w:rPr>
        <w:t>10</w:t>
      </w:r>
      <w:r>
        <w:rPr>
          <w:rFonts w:hint="eastAsia" w:ascii="仿宋_GB2312" w:eastAsia="仿宋_GB2312" w:cs="仿宋_GB2312"/>
          <w:color w:val="000000"/>
        </w:rPr>
        <w:t>项，其中重点项</w:t>
      </w:r>
      <w:r>
        <w:rPr>
          <w:rFonts w:ascii="仿宋_GB2312" w:eastAsia="仿宋_GB2312" w:cs="仿宋_GB2312"/>
          <w:color w:val="000000"/>
        </w:rPr>
        <w:t>9</w:t>
      </w:r>
      <w:r>
        <w:rPr>
          <w:rFonts w:hint="eastAsia" w:ascii="仿宋_GB2312" w:eastAsia="仿宋_GB2312" w:cs="仿宋_GB2312"/>
          <w:color w:val="000000"/>
        </w:rPr>
        <w:t>项，一般项</w:t>
      </w:r>
      <w:r>
        <w:rPr>
          <w:rFonts w:ascii="仿宋_GB2312" w:eastAsia="仿宋_GB2312" w:cs="仿宋_GB2312"/>
          <w:color w:val="000000"/>
        </w:rPr>
        <w:t>1</w:t>
      </w:r>
      <w:r>
        <w:rPr>
          <w:rFonts w:hint="eastAsia" w:ascii="仿宋_GB2312" w:eastAsia="仿宋_GB2312" w:cs="仿宋_GB2312"/>
          <w:color w:val="000000"/>
        </w:rPr>
        <w:t>项。</w:t>
      </w:r>
      <w:r>
        <w:rPr>
          <w:rFonts w:ascii="仿宋_GB2312" w:eastAsia="仿宋_GB2312" w:cs="仿宋_GB2312"/>
          <w:color w:val="000000"/>
        </w:rPr>
        <w:t xml:space="preserve"> **</w:t>
      </w:r>
      <w:r>
        <w:rPr>
          <w:rFonts w:hint="eastAsia" w:ascii="仿宋_GB2312" w:eastAsia="仿宋_GB2312" w:cs="仿宋_GB2312"/>
          <w:color w:val="000000"/>
        </w:rPr>
        <w:t>为重点项，</w:t>
      </w:r>
      <w:r>
        <w:rPr>
          <w:rFonts w:ascii="仿宋_GB2312" w:eastAsia="仿宋_GB2312" w:cs="仿宋_GB2312"/>
          <w:color w:val="000000"/>
        </w:rPr>
        <w:t>*</w:t>
      </w:r>
      <w:r>
        <w:rPr>
          <w:rFonts w:hint="eastAsia" w:ascii="仿宋_GB2312" w:eastAsia="仿宋_GB2312" w:cs="仿宋_GB2312"/>
          <w:color w:val="000000"/>
        </w:rPr>
        <w:t>为一般项。判定原则：重点项必须全部符合。</w:t>
      </w:r>
    </w:p>
    <w:p>
      <w:pPr>
        <w:rPr>
          <w:rFonts w:ascii="仿宋_GB2312" w:eastAsia="仿宋_GB2312"/>
          <w:color w:val="000000"/>
        </w:rPr>
      </w:pPr>
    </w:p>
    <w:p/>
    <w:p>
      <w:pPr>
        <w:pStyle w:val="2"/>
      </w:pPr>
    </w:p>
    <w:p>
      <w:pPr>
        <w:pStyle w:val="2"/>
      </w:pPr>
    </w:p>
    <w:tbl>
      <w:tblPr>
        <w:tblStyle w:val="3"/>
        <w:tblW w:w="47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9" w:type="dxa"/>
            <w:vMerge w:val="restart"/>
            <w:vAlign w:val="center"/>
          </w:tcPr>
          <w:p>
            <w:pPr>
              <w:spacing w:line="58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核查</w:t>
            </w:r>
          </w:p>
          <w:p>
            <w:pPr>
              <w:spacing w:line="58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记录</w:t>
            </w:r>
          </w:p>
        </w:tc>
        <w:tc>
          <w:tcPr>
            <w:tcW w:w="1122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重点项：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项符合；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项不符合，不符合项编号为：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项合理缺项，合理缺项编号为：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580" w:lineRule="atLeast"/>
              <w:jc w:val="center"/>
              <w:rPr>
                <w:rFonts w:hint="eastAsia"/>
              </w:rPr>
            </w:pPr>
          </w:p>
        </w:tc>
        <w:tc>
          <w:tcPr>
            <w:tcW w:w="1122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一般项：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项符合；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项不符合，不符合项编号为：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项合理缺项，合理缺项编号为：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9" w:type="dxa"/>
            <w:vAlign w:val="center"/>
          </w:tcPr>
          <w:p>
            <w:pPr>
              <w:spacing w:line="58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核查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结论</w:t>
            </w:r>
          </w:p>
        </w:tc>
        <w:tc>
          <w:tcPr>
            <w:tcW w:w="112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□符合规定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Times New Roman"/>
                <w:sz w:val="28"/>
                <w:szCs w:val="28"/>
              </w:rPr>
              <w:t>　□不符合规定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194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核查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人员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签字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 xml:space="preserve">： 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19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当事人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签字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：                            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年    月    日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OTE3ZmM3ZjdkZDU0Nzg5YTM4ZWM2NzAxZjEzZTAifQ=="/>
  </w:docVars>
  <w:rsids>
    <w:rsidRoot w:val="FFDDE3F0"/>
    <w:rsid w:val="000338A1"/>
    <w:rsid w:val="000F00B8"/>
    <w:rsid w:val="00276723"/>
    <w:rsid w:val="00291BDE"/>
    <w:rsid w:val="0047280A"/>
    <w:rsid w:val="005062A4"/>
    <w:rsid w:val="006C7718"/>
    <w:rsid w:val="00872547"/>
    <w:rsid w:val="00B43E0D"/>
    <w:rsid w:val="00B90C6F"/>
    <w:rsid w:val="00BE03B8"/>
    <w:rsid w:val="00BE56EC"/>
    <w:rsid w:val="00C611E3"/>
    <w:rsid w:val="00D006D9"/>
    <w:rsid w:val="00D77C59"/>
    <w:rsid w:val="00F4073D"/>
    <w:rsid w:val="190C5ECA"/>
    <w:rsid w:val="2434238F"/>
    <w:rsid w:val="2CF8AA4D"/>
    <w:rsid w:val="389E3F8F"/>
    <w:rsid w:val="4D5E1326"/>
    <w:rsid w:val="7DF63809"/>
    <w:rsid w:val="AE77E554"/>
    <w:rsid w:val="BC47FDA0"/>
    <w:rsid w:val="F3D7A722"/>
    <w:rsid w:val="FBA5C9FB"/>
    <w:rsid w:val="FC5F2BED"/>
    <w:rsid w:val="FDFE554D"/>
    <w:rsid w:val="FEEFC82B"/>
    <w:rsid w:val="FFDDE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217</Words>
  <Characters>1242</Characters>
  <Lines>10</Lines>
  <Paragraphs>2</Paragraphs>
  <TotalTime>0</TotalTime>
  <ScaleCrop>false</ScaleCrop>
  <LinksUpToDate>false</LinksUpToDate>
  <CharactersWithSpaces>1457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2023-08-19T02:11:00Z</dcterms:created>
  <dc:creator>scjgj</dc:creator>
  <cp:lastModifiedBy>沙仑水仙</cp:lastModifiedBy>
  <cp:lastPrinted>2023-09-02T10:18:00Z</cp:lastPrinted>
  <dcterms:modified xsi:type="dcterms:W3CDTF">2023-12-05T09:04:52Z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F7C8B42498FF45BE85455B542F6BACE3_12</vt:lpwstr>
  </property>
</Properties>
</file>