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rPr>
          <w:rFonts w:ascii="仿宋_GB2312" w:hAnsi="宋体" w:eastAsia="仿宋_GB2312"/>
          <w:b/>
          <w:bCs/>
          <w:kern w:val="0"/>
          <w:sz w:val="44"/>
          <w:szCs w:val="44"/>
        </w:rPr>
      </w:pPr>
      <w:r>
        <w:rPr>
          <w:rFonts w:hint="eastAsia" w:ascii="黑体" w:hAnsi="黑体" w:eastAsia="黑体"/>
          <w:bCs/>
          <w:kern w:val="0"/>
          <w:sz w:val="32"/>
          <w:szCs w:val="44"/>
        </w:rPr>
        <w:t>附件1-4</w:t>
      </w:r>
    </w:p>
    <w:p>
      <w:pPr>
        <w:spacing w:after="120" w:afterLines="50"/>
        <w:jc w:val="center"/>
        <w:rPr>
          <w:rFonts w:ascii="仿宋_GB2312" w:hAnsi="宋体" w:eastAsia="仿宋_GB2312" w:cs="仿宋_GB2312"/>
          <w:b/>
          <w:bCs/>
          <w:kern w:val="0"/>
          <w:sz w:val="44"/>
          <w:szCs w:val="44"/>
        </w:rPr>
      </w:pP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食品经营许可现场核查表</w:t>
      </w:r>
    </w:p>
    <w:p>
      <w:pPr>
        <w:adjustRightInd w:val="0"/>
        <w:snapToGrid w:val="0"/>
        <w:jc w:val="center"/>
        <w:rPr>
          <w:rFonts w:ascii="仿宋_GB2312" w:hAnsi="宋体" w:eastAsia="仿宋_GB2312"/>
          <w:b/>
          <w:bCs/>
          <w:kern w:val="0"/>
          <w:sz w:val="44"/>
          <w:szCs w:val="44"/>
        </w:rPr>
      </w:pPr>
      <w:r>
        <w:rPr>
          <w:rFonts w:hint="eastAsia" w:ascii="方正小标宋简体" w:hAnsi="宋体" w:eastAsia="方正小标宋简体" w:cs="仿宋_GB2312"/>
          <w:bCs/>
          <w:color w:val="000000"/>
          <w:kern w:val="0"/>
          <w:sz w:val="44"/>
          <w:szCs w:val="44"/>
        </w:rPr>
        <w:t>（集体用餐配送单位）</w:t>
      </w: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rPr>
          <w:rFonts w:ascii="仿宋_GB2312" w:hAnsi="宋体" w:eastAsia="仿宋_GB2312"/>
          <w:b/>
          <w:bCs/>
          <w:kern w:val="0"/>
          <w:sz w:val="32"/>
          <w:szCs w:val="32"/>
        </w:rPr>
      </w:pP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单位名称：</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地    址：</w:t>
      </w:r>
      <w:r>
        <w:rPr>
          <w:rFonts w:ascii="仿宋_GB2312" w:hAnsi="宋体" w:eastAsia="仿宋_GB2312" w:cs="仿宋_GB2312"/>
          <w:b/>
          <w:bCs/>
          <w:color w:val="000000"/>
          <w:kern w:val="0"/>
          <w:sz w:val="36"/>
          <w:szCs w:val="36"/>
          <w:u w:val="single"/>
        </w:rPr>
        <w:t xml:space="preserve">                                      </w:t>
      </w:r>
    </w:p>
    <w:p>
      <w:pPr>
        <w:spacing w:after="120"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kern w:val="0"/>
          <w:sz w:val="36"/>
          <w:szCs w:val="36"/>
        </w:rPr>
        <w:t>核查日期：</w:t>
      </w:r>
      <w:r>
        <w:rPr>
          <w:rFonts w:ascii="仿宋_GB2312" w:hAnsi="宋体" w:eastAsia="仿宋_GB2312" w:cs="仿宋_GB2312"/>
          <w:b/>
          <w:bCs/>
          <w:color w:val="000000"/>
          <w:kern w:val="0"/>
          <w:sz w:val="36"/>
          <w:szCs w:val="36"/>
          <w:u w:val="single"/>
        </w:rPr>
        <w:t xml:space="preserve">                                      </w:t>
      </w:r>
    </w:p>
    <w:p>
      <w:pPr>
        <w:pStyle w:val="2"/>
        <w:ind w:firstLine="600"/>
      </w:pPr>
      <w:r>
        <w:br w:type="page"/>
      </w:r>
    </w:p>
    <w:p>
      <w:pPr>
        <w:spacing w:after="120" w:afterLines="50"/>
        <w:ind w:firstLine="1807" w:firstLineChars="500"/>
        <w:rPr>
          <w:rFonts w:ascii="仿宋_GB2312" w:hAnsi="宋体" w:eastAsia="仿宋_GB2312" w:cs="仿宋_GB2312"/>
          <w:b/>
          <w:bCs/>
          <w:kern w:val="0"/>
          <w:sz w:val="36"/>
          <w:szCs w:val="36"/>
          <w:u w:val="single"/>
        </w:rPr>
      </w:pPr>
    </w:p>
    <w:tbl>
      <w:tblPr>
        <w:tblStyle w:val="6"/>
        <w:tblW w:w="13280" w:type="dxa"/>
        <w:tblInd w:w="-50" w:type="dxa"/>
        <w:tblLayout w:type="autofit"/>
        <w:tblCellMar>
          <w:top w:w="0" w:type="dxa"/>
          <w:left w:w="108" w:type="dxa"/>
          <w:bottom w:w="0" w:type="dxa"/>
          <w:right w:w="108" w:type="dxa"/>
        </w:tblCellMar>
      </w:tblPr>
      <w:tblGrid>
        <w:gridCol w:w="1422"/>
        <w:gridCol w:w="7763"/>
        <w:gridCol w:w="576"/>
        <w:gridCol w:w="821"/>
        <w:gridCol w:w="733"/>
        <w:gridCol w:w="892"/>
        <w:gridCol w:w="1073"/>
      </w:tblGrid>
      <w:tr>
        <w:tblPrEx>
          <w:tblCellMar>
            <w:top w:w="0" w:type="dxa"/>
            <w:left w:w="108" w:type="dxa"/>
            <w:bottom w:w="0" w:type="dxa"/>
            <w:right w:w="108" w:type="dxa"/>
          </w:tblCellMar>
        </w:tblPrEx>
        <w:trPr>
          <w:trHeight w:val="392" w:hRule="atLeast"/>
          <w:tblHeader/>
        </w:trPr>
        <w:tc>
          <w:tcPr>
            <w:tcW w:w="142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核查内容</w:t>
            </w:r>
          </w:p>
        </w:tc>
        <w:tc>
          <w:tcPr>
            <w:tcW w:w="7763"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核查和评价方法</w:t>
            </w:r>
          </w:p>
        </w:tc>
        <w:tc>
          <w:tcPr>
            <w:tcW w:w="57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编号</w:t>
            </w:r>
          </w:p>
        </w:tc>
        <w:tc>
          <w:tcPr>
            <w:tcW w:w="82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重要性</w:t>
            </w:r>
          </w:p>
        </w:tc>
        <w:tc>
          <w:tcPr>
            <w:tcW w:w="2698"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结果判定</w:t>
            </w:r>
          </w:p>
        </w:tc>
      </w:tr>
      <w:tr>
        <w:tblPrEx>
          <w:tblCellMar>
            <w:top w:w="0" w:type="dxa"/>
            <w:left w:w="108" w:type="dxa"/>
            <w:bottom w:w="0" w:type="dxa"/>
            <w:right w:w="108" w:type="dxa"/>
          </w:tblCellMar>
        </w:tblPrEx>
        <w:trPr>
          <w:trHeight w:val="285" w:hRule="atLeast"/>
          <w:tblHeader/>
        </w:trPr>
        <w:tc>
          <w:tcPr>
            <w:tcW w:w="142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b/>
                <w:bCs/>
                <w:color w:val="000000"/>
              </w:rPr>
            </w:pPr>
          </w:p>
        </w:tc>
        <w:tc>
          <w:tcPr>
            <w:tcW w:w="776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b/>
                <w:bCs/>
                <w:color w:val="000000"/>
              </w:rPr>
            </w:pPr>
          </w:p>
        </w:tc>
        <w:tc>
          <w:tcPr>
            <w:tcW w:w="57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b/>
                <w:bCs/>
                <w:color w:val="000000"/>
              </w:rPr>
            </w:pPr>
          </w:p>
        </w:tc>
        <w:tc>
          <w:tcPr>
            <w:tcW w:w="82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b/>
                <w:bCs/>
                <w:color w:val="000000"/>
              </w:rPr>
            </w:pPr>
          </w:p>
        </w:tc>
        <w:tc>
          <w:tcPr>
            <w:tcW w:w="7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符合</w:t>
            </w:r>
          </w:p>
        </w:tc>
        <w:tc>
          <w:tcPr>
            <w:tcW w:w="8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不符合</w:t>
            </w:r>
          </w:p>
        </w:tc>
        <w:tc>
          <w:tcPr>
            <w:tcW w:w="10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b/>
                <w:bCs/>
                <w:color w:val="000000"/>
              </w:rPr>
            </w:pPr>
            <w:r>
              <w:rPr>
                <w:rFonts w:hint="eastAsia" w:ascii="仿宋_GB2312" w:hAnsi="宋体" w:eastAsia="仿宋_GB2312" w:cs="仿宋_GB2312"/>
                <w:b/>
                <w:bCs/>
                <w:color w:val="000000"/>
                <w:kern w:val="0"/>
                <w:szCs w:val="21"/>
                <w:lang w:bidi="ar"/>
              </w:rPr>
              <w:t>合理缺项</w:t>
            </w:r>
          </w:p>
        </w:tc>
      </w:tr>
      <w:tr>
        <w:tblPrEx>
          <w:tblCellMar>
            <w:top w:w="0" w:type="dxa"/>
            <w:left w:w="108" w:type="dxa"/>
            <w:bottom w:w="0" w:type="dxa"/>
            <w:right w:w="108" w:type="dxa"/>
          </w:tblCellMar>
        </w:tblPrEx>
        <w:trPr>
          <w:trHeight w:val="1006" w:hRule="atLeast"/>
        </w:trPr>
        <w:tc>
          <w:tcPr>
            <w:tcW w:w="1422" w:type="dxa"/>
            <w:vMerge w:val="restart"/>
            <w:tcBorders>
              <w:top w:val="nil"/>
              <w:left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1.选址</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地势干燥、有给排水条件和电力供应的地区，不应设在易受到污染的区域，应距离粪坑、污水池、暴露垃圾场或垃圾站、旱厕等污染源25m以上，并位于粉尘、有害气体、放射性物质和其他扩散性污染源的影响范围外</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88" w:hRule="atLeast"/>
        </w:trPr>
        <w:tc>
          <w:tcPr>
            <w:tcW w:w="1422" w:type="dxa"/>
            <w:vMerge w:val="continue"/>
            <w:tcBorders>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Cs w:val="21"/>
                <w:lang w:bidi="ar"/>
              </w:rPr>
            </w:pPr>
          </w:p>
        </w:tc>
        <w:tc>
          <w:tcPr>
            <w:tcW w:w="7763" w:type="dxa"/>
            <w:tcBorders>
              <w:top w:val="nil"/>
              <w:left w:val="single" w:color="000000" w:sz="8" w:space="0"/>
              <w:bottom w:val="single" w:color="000000" w:sz="8" w:space="0"/>
              <w:right w:val="single" w:color="000000" w:sz="8" w:space="0"/>
            </w:tcBorders>
            <w:vAlign w:val="center"/>
          </w:tcPr>
          <w:p>
            <w:pPr>
              <w:pStyle w:val="8"/>
              <w:numPr>
                <w:ilvl w:val="0"/>
                <w:numId w:val="0"/>
              </w:numPr>
              <w:contextualSpacing/>
              <w:rPr>
                <w:rFonts w:ascii="仿宋_GB2312" w:hAnsi="宋体" w:eastAsia="仿宋_GB2312" w:cs="仿宋_GB2312"/>
                <w:color w:val="000000"/>
                <w:szCs w:val="21"/>
                <w:lang w:bidi="ar"/>
              </w:rPr>
            </w:pPr>
            <w:r>
              <w:rPr>
                <w:rFonts w:hint="eastAsia" w:ascii="仿宋_GB2312" w:hAnsi="宋体" w:eastAsia="仿宋_GB2312" w:cs="仿宋_GB2312"/>
                <w:color w:val="000000"/>
                <w:szCs w:val="21"/>
                <w:lang w:bidi="ar"/>
              </w:rPr>
              <w:t>厂区内道路应硬化，保持环境清洁</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2</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90" w:hRule="atLeast"/>
        </w:trPr>
        <w:tc>
          <w:tcPr>
            <w:tcW w:w="1422" w:type="dxa"/>
            <w:vMerge w:val="restart"/>
            <w:tcBorders>
              <w:top w:val="single" w:color="000000" w:sz="8" w:space="0"/>
              <w:left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p>
          <w:p>
            <w:pPr>
              <w:widowControl/>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2.场所设置和布局</w:t>
            </w:r>
          </w:p>
          <w:p>
            <w:pPr>
              <w:rPr>
                <w:rFonts w:ascii="仿宋_GB2312" w:hAnsi="宋体" w:eastAsia="仿宋_GB2312" w:cs="仿宋_GB2312"/>
                <w:color w:val="000000"/>
              </w:rPr>
            </w:pPr>
          </w:p>
        </w:tc>
        <w:tc>
          <w:tcPr>
            <w:tcW w:w="7763"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rPr>
              <w:t>加工经营场所内无圈养、宰杀禽畜类动物的区域</w:t>
            </w:r>
          </w:p>
        </w:tc>
        <w:tc>
          <w:tcPr>
            <w:tcW w:w="57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3</w:t>
            </w:r>
          </w:p>
        </w:tc>
        <w:tc>
          <w:tcPr>
            <w:tcW w:w="82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70" w:hRule="atLeast"/>
        </w:trPr>
        <w:tc>
          <w:tcPr>
            <w:tcW w:w="1422" w:type="dxa"/>
            <w:vMerge w:val="continue"/>
            <w:tcBorders>
              <w:left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Cs w:val="21"/>
                <w:lang w:bidi="ar"/>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应</w:t>
            </w:r>
            <w:r>
              <w:rPr>
                <w:rFonts w:hint="eastAsia" w:ascii="仿宋_GB2312" w:hAnsi="等线" w:eastAsia="仿宋_GB2312" w:cs="宋体"/>
                <w:color w:val="000000"/>
                <w:kern w:val="0"/>
              </w:rPr>
              <w:t>合理划分食品处理区和辅助区</w:t>
            </w:r>
            <w:r>
              <w:rPr>
                <w:rFonts w:hint="eastAsia" w:ascii="仿宋_GB2312" w:hAnsi="宋体" w:eastAsia="仿宋_GB2312" w:cs="仿宋_GB2312"/>
                <w:color w:val="000000"/>
                <w:kern w:val="0"/>
                <w:szCs w:val="21"/>
                <w:lang w:bidi="ar"/>
              </w:rPr>
              <w:t>（更衣间、卫生间、检验室等）</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4</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50" w:hRule="atLeast"/>
        </w:trPr>
        <w:tc>
          <w:tcPr>
            <w:tcW w:w="1422" w:type="dxa"/>
            <w:vMerge w:val="continue"/>
            <w:tcBorders>
              <w:left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cs="仿宋_GB2312"/>
                <w:color w:val="000000"/>
              </w:rPr>
            </w:pPr>
            <w:r>
              <w:rPr>
                <w:rFonts w:hint="eastAsia" w:ascii="仿宋_GB2312" w:hAnsi="宋体" w:eastAsia="仿宋_GB2312" w:cs="仿宋_GB2312"/>
                <w:color w:val="000000"/>
                <w:kern w:val="0"/>
                <w:szCs w:val="21"/>
                <w:lang w:bidi="ar"/>
              </w:rPr>
              <w:t>食品处理区面积≥150m</w:t>
            </w:r>
            <w:r>
              <w:rPr>
                <w:rFonts w:hint="eastAsia" w:ascii="仿宋_GB2312" w:hAnsi="宋体" w:eastAsia="仿宋_GB2312" w:cs="仿宋_GB2312"/>
                <w:color w:val="000000"/>
                <w:kern w:val="0"/>
                <w:szCs w:val="21"/>
                <w:vertAlign w:val="superscript"/>
                <w:lang w:bidi="ar"/>
              </w:rPr>
              <w:t>2</w:t>
            </w:r>
            <w:r>
              <w:rPr>
                <w:rFonts w:hint="eastAsia" w:ascii="仿宋_GB2312" w:hAnsi="宋体" w:eastAsia="仿宋_GB2312" w:cs="仿宋_GB2312"/>
                <w:color w:val="000000"/>
                <w:kern w:val="0"/>
                <w:szCs w:val="21"/>
                <w:lang w:bidi="ar"/>
              </w:rPr>
              <w:t>，应当与加工食品的品种和数量相适应，合理划分出贮存、初加工、切配、烹饪、冷却、分装（餐）、备餐、清洗消毒等加工区域</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5</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800"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rPr>
            </w:pPr>
            <w:r>
              <w:rPr>
                <w:rFonts w:hint="eastAsia" w:ascii="仿宋_GB2312" w:hAnsi="宋体" w:eastAsia="仿宋_GB2312" w:cs="仿宋_GB2312"/>
                <w:kern w:val="0"/>
                <w:szCs w:val="21"/>
                <w:lang w:bidi="ar"/>
              </w:rPr>
              <w:t>食品处理区应设置在室内且独立分隔，根据清洁程度的不同分为一般操作区、准清洁操作区、清洁操作区。</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64"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初加工区（间）应设置在食品原料入口处。</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7</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79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bookmarkStart w:id="0" w:name="_Hlk83483155"/>
            <w:r>
              <w:rPr>
                <w:rFonts w:hint="eastAsia" w:ascii="仿宋_GB2312" w:hAnsi="宋体" w:eastAsia="仿宋_GB2312" w:cs="仿宋_GB2312"/>
                <w:kern w:val="0"/>
                <w:szCs w:val="21"/>
                <w:lang w:bidi="ar"/>
              </w:rPr>
              <w:t>根据不同类型的食品原料应分别设置动物性食品、植物性食品初加工区（间）</w:t>
            </w:r>
            <w:bookmarkEnd w:id="0"/>
            <w:r>
              <w:rPr>
                <w:rFonts w:hint="eastAsia" w:ascii="仿宋_GB2312" w:hAnsi="宋体" w:eastAsia="仿宋_GB2312" w:cs="仿宋_GB2312"/>
                <w:kern w:val="0"/>
                <w:szCs w:val="21"/>
                <w:lang w:bidi="ar"/>
              </w:rPr>
              <w:t>。其中水产品加工应设置专用的操作区域和设备设施，与其他动物性食品加工分离。</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8</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3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切配区设置在初加工间内的，切配操作应与其他初加工操作分离。</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44"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独立设置切配区的，畜禽产品、水产品、植物性食品的切配区域应分离，使用的工用具及设备应标记明显，分开存放。</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10</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01"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single" w:color="auto" w:sz="4" w:space="0"/>
              <w:left w:val="single" w:color="000000" w:sz="8" w:space="0"/>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设置独立的烹饪区，按照生进熟出的加工流程进行布局设置，不同工艺步骤的食品分区存放</w:t>
            </w:r>
          </w:p>
        </w:tc>
        <w:tc>
          <w:tcPr>
            <w:tcW w:w="576" w:type="dxa"/>
            <w:tcBorders>
              <w:top w:val="single" w:color="auto" w:sz="4" w:space="0"/>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szCs w:val="21"/>
              </w:rPr>
              <w:t>11</w:t>
            </w:r>
          </w:p>
        </w:tc>
        <w:tc>
          <w:tcPr>
            <w:tcW w:w="821" w:type="dxa"/>
            <w:tcBorders>
              <w:top w:val="single" w:color="auto" w:sz="4" w:space="0"/>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single" w:color="auto" w:sz="4" w:space="0"/>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根据加工工序的清洁程度要求分别设置相应的清洗消毒区（间）</w:t>
            </w:r>
          </w:p>
        </w:tc>
        <w:tc>
          <w:tcPr>
            <w:tcW w:w="576"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12</w:t>
            </w:r>
          </w:p>
        </w:tc>
        <w:tc>
          <w:tcPr>
            <w:tcW w:w="82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清洗消毒面积应与经营所需相适应，面积≥食品处理区面积的10%</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13</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74"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应设置餐用具保洁区。可单独建立，也可设置在餐用具清洗消毒区（间）内。设置在餐用具清洗消毒区域内的，应与餐用具清洗操作进行分离。</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14</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97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应设置独立的隔间、区域或者专用设施用于清洗存放清洁工具（包括扫帚、拖把、抹布、刷子等），其位置应不会污染食品，并与其他区域或设施能够明显区分。清洁工具的清洗水池应与餐用具清洗消毒水池、食品原料清洗水池明显区分</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15</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92"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建立参观通道，减少外来人员进入加工场所</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bottom w:val="single" w:color="auto" w:sz="4"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废弃物处理场所应与食品处理区隔离，隔油池应设置在室外或远离食品处理区的位置</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17</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38" w:hRule="atLeast"/>
        </w:trPr>
        <w:tc>
          <w:tcPr>
            <w:tcW w:w="1422" w:type="dxa"/>
            <w:vMerge w:val="restart"/>
            <w:tcBorders>
              <w:top w:val="single" w:color="auto" w:sz="4" w:space="0"/>
              <w:left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3.食品处理区地面与排水</w:t>
            </w: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地面的铺设材料应当无毒、无异味、不透水、耐腐蚀。地面平坦防滑</w:t>
            </w:r>
            <w:r>
              <w:rPr>
                <w:rFonts w:hint="eastAsia" w:ascii="仿宋_GB2312" w:hAnsi="宋体" w:eastAsia="仿宋_GB2312" w:cs="仿宋_GB2312"/>
                <w:kern w:val="0"/>
                <w:szCs w:val="21"/>
                <w:lang w:bidi="ar"/>
              </w:rPr>
              <w:t>无破损</w:t>
            </w:r>
            <w:r>
              <w:rPr>
                <w:rFonts w:hint="eastAsia" w:ascii="仿宋_GB2312" w:hAnsi="宋体" w:eastAsia="仿宋_GB2312" w:cs="仿宋_GB2312"/>
                <w:kern w:val="0"/>
                <w:szCs w:val="21"/>
                <w:lang w:val="zh-CN" w:bidi="ar"/>
              </w:rPr>
              <w:t>，易于清洗</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18</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690" w:hRule="atLeast"/>
        </w:trPr>
        <w:tc>
          <w:tcPr>
            <w:tcW w:w="1422" w:type="dxa"/>
            <w:vMerge w:val="continue"/>
            <w:tcBorders>
              <w:left w:val="single" w:color="000000" w:sz="8"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需经常冲洗的场所</w:t>
            </w:r>
            <w:r>
              <w:rPr>
                <w:rFonts w:hint="eastAsia" w:ascii="仿宋_GB2312" w:hAnsi="宋体" w:eastAsia="仿宋_GB2312" w:cs="仿宋_GB2312"/>
                <w:kern w:val="0"/>
                <w:szCs w:val="21"/>
                <w:lang w:bidi="ar"/>
              </w:rPr>
              <w:t>地面和排水沟有排水坡度，不易积水。排水沟内不应设置其他管路</w:t>
            </w:r>
            <w:r>
              <w:rPr>
                <w:rFonts w:hint="eastAsia" w:ascii="仿宋_GB2312" w:hAnsi="宋体" w:eastAsia="仿宋_GB2312" w:cs="仿宋_GB2312"/>
                <w:kern w:val="0"/>
                <w:szCs w:val="21"/>
                <w:lang w:val="zh-CN" w:bidi="ar"/>
              </w:rPr>
              <w:t>。排水沟篦子应完整，篦子缝应小于10m</w:t>
            </w:r>
            <w:r>
              <w:rPr>
                <w:rFonts w:hint="eastAsia" w:ascii="仿宋_GB2312" w:hAnsi="宋体" w:eastAsia="仿宋_GB2312" w:cs="仿宋_GB2312"/>
                <w:kern w:val="0"/>
                <w:szCs w:val="21"/>
                <w:lang w:bidi="ar"/>
              </w:rPr>
              <w:t>m</w:t>
            </w:r>
            <w:r>
              <w:rPr>
                <w:rFonts w:hint="eastAsia" w:ascii="仿宋_GB2312" w:hAnsi="宋体" w:eastAsia="仿宋_GB2312" w:cs="仿宋_GB2312"/>
                <w:kern w:val="0"/>
                <w:szCs w:val="21"/>
                <w:lang w:val="zh-CN" w:bidi="ar"/>
              </w:rPr>
              <w:t>且无破损</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宋体" w:eastAsia="仿宋_GB2312" w:cs="仿宋_GB2312"/>
                <w:color w:val="000000"/>
              </w:rPr>
              <w:t>19</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706" w:hRule="atLeast"/>
        </w:trPr>
        <w:tc>
          <w:tcPr>
            <w:tcW w:w="1422" w:type="dxa"/>
            <w:vMerge w:val="continue"/>
            <w:tcBorders>
              <w:left w:val="single" w:color="000000" w:sz="8"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食品处理区的排水管下垂至地面后应直接接入地下的排水管道，接入口应为密闭硬连接。排水管道不应暴露于地面。</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20</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722" w:hRule="atLeast"/>
        </w:trPr>
        <w:tc>
          <w:tcPr>
            <w:tcW w:w="1422" w:type="dxa"/>
            <w:vMerge w:val="continue"/>
            <w:tcBorders>
              <w:left w:val="single" w:color="000000" w:sz="8"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排水的流向应由清洁程度要求高的区域流向清洁程度要求低的区域，并能防止污水逆流</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ascii="仿宋_GB2312" w:hAnsi="等线" w:eastAsia="仿宋_GB2312" w:cs="宋体"/>
                <w:color w:val="000000"/>
                <w:kern w:val="0"/>
              </w:rPr>
              <w:t>2</w:t>
            </w:r>
            <w:r>
              <w:rPr>
                <w:rFonts w:hint="eastAsia" w:ascii="仿宋_GB2312" w:hAnsi="等线" w:eastAsia="仿宋_GB2312" w:cs="宋体"/>
                <w:color w:val="000000"/>
                <w:kern w:val="0"/>
              </w:rPr>
              <w:t>1</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690" w:hRule="atLeast"/>
        </w:trPr>
        <w:tc>
          <w:tcPr>
            <w:tcW w:w="1422" w:type="dxa"/>
            <w:vMerge w:val="continue"/>
            <w:tcBorders>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排水管道与外界相通的出口应有适当措施（缝隙小于</w:t>
            </w:r>
            <w:r>
              <w:rPr>
                <w:rFonts w:hint="eastAsia" w:ascii="仿宋_GB2312" w:hAnsi="宋体" w:eastAsia="仿宋_GB2312" w:cs="仿宋_GB2312"/>
                <w:kern w:val="0"/>
                <w:szCs w:val="21"/>
                <w:lang w:bidi="ar"/>
              </w:rPr>
              <w:t>10</w:t>
            </w:r>
            <w:r>
              <w:rPr>
                <w:rFonts w:hint="eastAsia" w:ascii="仿宋_GB2312" w:hAnsi="宋体" w:eastAsia="仿宋_GB2312" w:cs="仿宋_GB2312"/>
                <w:kern w:val="0"/>
                <w:szCs w:val="21"/>
                <w:lang w:val="zh-CN" w:bidi="ar"/>
              </w:rPr>
              <w:t>mm的篦子），以防有害生物侵入。</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22</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45" w:hRule="atLeast"/>
        </w:trPr>
        <w:tc>
          <w:tcPr>
            <w:tcW w:w="1422" w:type="dxa"/>
            <w:vMerge w:val="restart"/>
            <w:tcBorders>
              <w:left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4.墙壁与门窗</w:t>
            </w: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需经常冲洗的场所在操作高度范围内的墙面应光滑、防水、不易积垢且易于清洗</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rPr>
              <w:t>23</w:t>
            </w:r>
          </w:p>
        </w:tc>
        <w:tc>
          <w:tcPr>
            <w:tcW w:w="821"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w:t>
            </w: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食品处理区和辅助区的墙壁、隔断和地面交界处应结构合理、易于清洁，能有效避免污垢积存。</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rPr>
              <w:t>24</w:t>
            </w:r>
          </w:p>
        </w:tc>
        <w:tc>
          <w:tcPr>
            <w:tcW w:w="821"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673"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门、窗应闭合严密，采用不透水、坚固、不变形的材料制成，结构上应易于维护、清洁</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kern w:val="0"/>
              </w:rPr>
              <w:t>25</w:t>
            </w:r>
          </w:p>
        </w:tc>
        <w:tc>
          <w:tcPr>
            <w:tcW w:w="821"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需经常冲洗场所的门，表面还应光滑，不易积垢。</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6</w:t>
            </w:r>
          </w:p>
        </w:tc>
        <w:tc>
          <w:tcPr>
            <w:tcW w:w="821"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w:t>
            </w: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36"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与外界直接相通的通风口、换气窗外部，应加装不小于16目的防虫筛网</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rPr>
              <w:t>27</w:t>
            </w:r>
          </w:p>
        </w:tc>
        <w:tc>
          <w:tcPr>
            <w:tcW w:w="821"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ascii="仿宋_GB2312" w:hAnsi="宋体" w:eastAsia="仿宋_GB2312" w:cs="仿宋_GB2312"/>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70"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窗户如设置窗台，其结构应能避免灰尘积存且易于清洗（例如内窗台下斜45度以上）。</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ascii="仿宋_GB2312" w:hAnsi="等线" w:eastAsia="仿宋_GB2312" w:cs="宋体"/>
                <w:color w:val="000000"/>
                <w:kern w:val="0"/>
              </w:rPr>
              <w:t>2</w:t>
            </w:r>
            <w:r>
              <w:rPr>
                <w:rFonts w:hint="eastAsia" w:ascii="仿宋_GB2312" w:hAnsi="等线" w:eastAsia="仿宋_GB2312" w:cs="宋体"/>
                <w:color w:val="000000"/>
                <w:kern w:val="0"/>
              </w:rPr>
              <w:t>8</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窗户玻璃应使用不易碎的材料或采取必要措施防止其破碎后对食品和餐用具造成污染</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29</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87" w:hRule="atLeast"/>
        </w:trPr>
        <w:tc>
          <w:tcPr>
            <w:tcW w:w="1422"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5.食品处理区天花板</w:t>
            </w: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天花板的涂覆或装修材料应无毒、无异味、</w:t>
            </w:r>
            <w:r>
              <w:rPr>
                <w:rFonts w:hint="eastAsia" w:ascii="仿宋_GB2312" w:hAnsi="宋体" w:eastAsia="仿宋_GB2312" w:cs="仿宋_GB2312"/>
                <w:kern w:val="0"/>
                <w:szCs w:val="21"/>
                <w:lang w:val="zh-CN" w:bidi="ar"/>
              </w:rPr>
              <w:t>防霉、不吸水、耐高温、耐腐蚀不易脱落、易于清洁。</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30</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清洁操作区、准清洁操作区及其它半成品、成品暴露场所屋顶若为不平整的结构或有管道通过，加设平整、易于清洁的吊顶</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31</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0" w:hRule="atLeast"/>
        </w:trPr>
        <w:tc>
          <w:tcPr>
            <w:tcW w:w="1422" w:type="dxa"/>
            <w:vMerge w:val="continue"/>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高温高湿食品处理区的天花板应距地面2.5m以上</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32</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468" w:hRule="atLeast"/>
        </w:trPr>
        <w:tc>
          <w:tcPr>
            <w:tcW w:w="1422" w:type="dxa"/>
            <w:vMerge w:val="continue"/>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水蒸汽较多的场所的天花板有适当的坡度</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33</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285" w:hRule="atLeast"/>
        </w:trPr>
        <w:tc>
          <w:tcPr>
            <w:tcW w:w="1422" w:type="dxa"/>
            <w:vMerge w:val="restart"/>
            <w:tcBorders>
              <w:top w:val="single" w:color="000000" w:sz="8" w:space="0"/>
              <w:left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6.洗手消毒</w:t>
            </w: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食品处理区内设置足够数量的洗手设施，其位置设置在方便员工的区域。</w:t>
            </w:r>
            <w:r>
              <w:rPr>
                <w:rFonts w:hint="eastAsia" w:ascii="仿宋_GB2312" w:hAnsi="宋体" w:eastAsia="仿宋_GB2312" w:cs="仿宋_GB2312"/>
                <w:kern w:val="0"/>
                <w:szCs w:val="21"/>
                <w:lang w:val="zh-CN" w:bidi="ar"/>
              </w:rPr>
              <w:t>洗手设施应采用不透水、不易积垢、易于清洁的材料制成</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ascii="仿宋_GB2312" w:hAnsi="等线" w:eastAsia="仿宋_GB2312" w:cs="宋体"/>
                <w:color w:val="000000"/>
                <w:kern w:val="0"/>
              </w:rPr>
              <w:t>3</w:t>
            </w:r>
            <w:r>
              <w:rPr>
                <w:rFonts w:hint="eastAsia" w:ascii="仿宋_GB2312" w:hAnsi="等线" w:eastAsia="仿宋_GB2312" w:cs="宋体"/>
                <w:color w:val="000000"/>
                <w:kern w:val="0"/>
              </w:rPr>
              <w:t>4</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洗手消毒设施旁设有相应的清洗、消毒用品和干手设施，员工专用洗手消毒设施附近有洗手消毒方法标识</w:t>
            </w:r>
          </w:p>
        </w:tc>
        <w:tc>
          <w:tcPr>
            <w:tcW w:w="576"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ascii="仿宋_GB2312" w:hAnsi="等线" w:eastAsia="仿宋_GB2312" w:cs="宋体"/>
                <w:color w:val="000000"/>
                <w:kern w:val="0"/>
              </w:rPr>
              <w:t>3</w:t>
            </w:r>
            <w:r>
              <w:rPr>
                <w:rFonts w:hint="eastAsia" w:ascii="仿宋_GB2312" w:hAnsi="等线" w:eastAsia="仿宋_GB2312" w:cs="宋体"/>
                <w:color w:val="000000"/>
                <w:kern w:val="0"/>
              </w:rPr>
              <w:t>5</w:t>
            </w:r>
          </w:p>
        </w:tc>
        <w:tc>
          <w:tcPr>
            <w:tcW w:w="821"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522" w:hRule="atLeast"/>
        </w:trPr>
        <w:tc>
          <w:tcPr>
            <w:tcW w:w="1422" w:type="dxa"/>
            <w:vMerge w:val="continue"/>
            <w:tcBorders>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清洁操作区洗手设施的水龙头应采用非手动式</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36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01" w:hRule="atLeast"/>
        </w:trPr>
        <w:tc>
          <w:tcPr>
            <w:tcW w:w="1422" w:type="dxa"/>
            <w:vMerge w:val="restart"/>
            <w:tcBorders>
              <w:top w:val="single" w:color="000000" w:sz="8" w:space="0"/>
              <w:left w:val="single" w:color="000000" w:sz="8" w:space="0"/>
              <w:bottom w:val="single" w:color="auto" w:sz="4"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7.餐用具清洗消毒</w:t>
            </w: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配备自动化清洗消毒设备，对餐用具进行清洗消毒，保证餐用具光洁涩干无异味</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37</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nil"/>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60" w:hRule="atLeast"/>
        </w:trPr>
        <w:tc>
          <w:tcPr>
            <w:tcW w:w="1422" w:type="dxa"/>
            <w:vMerge w:val="continue"/>
            <w:tcBorders>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配备与供餐规模相适应的热风消毒库等物理消毒设备设施，对餐用具进行双消毒</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38</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19" w:hRule="atLeast"/>
        </w:trPr>
        <w:tc>
          <w:tcPr>
            <w:tcW w:w="1422" w:type="dxa"/>
            <w:vMerge w:val="continue"/>
            <w:tcBorders>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因材质等需采用化学消毒的，设4个专用水池（洗涤、清洗、消毒、冲洗），水池大小、规格应能满足将工用具完全浸没在水池中，各类水池以明显标识标明其用途</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39</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79" w:hRule="atLeast"/>
        </w:trPr>
        <w:tc>
          <w:tcPr>
            <w:tcW w:w="1422" w:type="dxa"/>
            <w:vMerge w:val="continue"/>
            <w:tcBorders>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nil"/>
              <w:left w:val="nil"/>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餐用具清洗消毒水池使用不锈钢或陶瓷等不透水材料、不易积垢并易于清洗</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40</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705" w:hRule="atLeast"/>
        </w:trPr>
        <w:tc>
          <w:tcPr>
            <w:tcW w:w="1422" w:type="dxa"/>
            <w:vMerge w:val="continue"/>
            <w:tcBorders>
              <w:left w:val="single" w:color="000000" w:sz="8" w:space="0"/>
              <w:bottom w:val="single" w:color="auto" w:sz="4" w:space="0"/>
              <w:right w:val="single" w:color="000000" w:sz="8" w:space="0"/>
            </w:tcBorders>
            <w:vAlign w:val="center"/>
          </w:tcPr>
          <w:p>
            <w:pPr>
              <w:jc w:val="center"/>
              <w:rPr>
                <w:rFonts w:ascii="仿宋_GB2312" w:hAnsi="宋体" w:eastAsia="仿宋_GB2312" w:cs="仿宋_GB2312"/>
                <w:color w:val="000000"/>
              </w:rPr>
            </w:pPr>
          </w:p>
        </w:tc>
        <w:tc>
          <w:tcPr>
            <w:tcW w:w="7763" w:type="dxa"/>
            <w:tcBorders>
              <w:top w:val="single" w:color="auto" w:sz="4" w:space="0"/>
              <w:left w:val="nil"/>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设专供存放消毒后餐用具的保洁间，不得设置在餐用具清洗消毒间内。配备保洁设备设施，标记明显。热力消毒设施设备可用于保洁</w:t>
            </w:r>
          </w:p>
        </w:tc>
        <w:tc>
          <w:tcPr>
            <w:tcW w:w="576"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41</w:t>
            </w:r>
          </w:p>
        </w:tc>
        <w:tc>
          <w:tcPr>
            <w:tcW w:w="821"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restart"/>
            <w:tcBorders>
              <w:top w:val="single" w:color="auto" w:sz="4" w:space="0"/>
              <w:left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8.食品加工设备</w:t>
            </w:r>
            <w:r>
              <w:rPr>
                <w:rFonts w:hint="eastAsia" w:ascii="仿宋_GB2312" w:hAnsi="等线" w:eastAsia="仿宋_GB2312" w:cs="宋体"/>
                <w:color w:val="000000"/>
                <w:kern w:val="0"/>
              </w:rPr>
              <w:t>、工具和容器</w:t>
            </w:r>
          </w:p>
        </w:tc>
        <w:tc>
          <w:tcPr>
            <w:tcW w:w="7763" w:type="dxa"/>
            <w:tcBorders>
              <w:top w:val="single" w:color="auto" w:sz="4" w:space="0"/>
              <w:left w:val="nil"/>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分别设置与加工品种相对应的食品原料清洗水池（分为畜禽产品、水产品、植物性食品等），水池数量或容量与加工食品的品种数量相适应。各类水池以明显标识标明其用途</w:t>
            </w:r>
          </w:p>
        </w:tc>
        <w:tc>
          <w:tcPr>
            <w:tcW w:w="576"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42</w:t>
            </w:r>
          </w:p>
        </w:tc>
        <w:tc>
          <w:tcPr>
            <w:tcW w:w="821"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09" w:hRule="atLeast"/>
        </w:trPr>
        <w:tc>
          <w:tcPr>
            <w:tcW w:w="1422" w:type="dxa"/>
            <w:vMerge w:val="continue"/>
            <w:tcBorders>
              <w:left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与食品接触的容器、工具和设备部件，应使用无毒、无味、耐腐蚀、不易脱落的材料制成，并应易于清洁和保养</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43</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39" w:hRule="atLeast"/>
        </w:trPr>
        <w:tc>
          <w:tcPr>
            <w:tcW w:w="1422" w:type="dxa"/>
            <w:vMerge w:val="continue"/>
            <w:tcBorders>
              <w:left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食品设备、工具和容器与食品的接触面平滑、无凹陷或裂缝</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44</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45" w:hRule="atLeast"/>
        </w:trPr>
        <w:tc>
          <w:tcPr>
            <w:tcW w:w="1422" w:type="dxa"/>
            <w:vMerge w:val="continue"/>
            <w:tcBorders>
              <w:left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所有食品设备、工具和容器不使用木质材料，因工艺要求必须使用除外</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45</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77" w:hRule="atLeast"/>
        </w:trPr>
        <w:tc>
          <w:tcPr>
            <w:tcW w:w="1422" w:type="dxa"/>
            <w:vMerge w:val="continue"/>
            <w:tcBorders>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用于原料、半成品、成品的工具、用具和容器，有明显的区分标识，分开定位存放</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46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80" w:hRule="atLeast"/>
        </w:trPr>
        <w:tc>
          <w:tcPr>
            <w:tcW w:w="1422"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9.通风排烟</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烹饪场所采用机械排风。产生油烟或大量蒸汽的设备上部，加设附有机械排风及油烟过滤的排气装置，过滤器应便于清洗和更换</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47</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80" w:hRule="atLeast"/>
        </w:trPr>
        <w:tc>
          <w:tcPr>
            <w:tcW w:w="1422" w:type="dxa"/>
            <w:vMerge w:val="continue"/>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冷却间、分装（餐）间和易腐食品加工间（热加工除外）设置空调通风系统等通风温控设施及空气消毒设施，配备环境温度计，定时监测环境温度</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48</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24" w:hRule="atLeast"/>
        </w:trPr>
        <w:tc>
          <w:tcPr>
            <w:tcW w:w="1422" w:type="dxa"/>
            <w:vMerge w:val="restart"/>
            <w:tcBorders>
              <w:top w:val="nil"/>
              <w:left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10.采光照明</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食品处理区应有充足的自然采光或人工照明设施，工作面的光照强度不应低于220lux，光源不应改变食品的感官颜色，其他场所的光照强度不宜低于110lux</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49</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40" w:hRule="atLeast"/>
        </w:trPr>
        <w:tc>
          <w:tcPr>
            <w:tcW w:w="1422" w:type="dxa"/>
            <w:vMerge w:val="continue"/>
            <w:tcBorders>
              <w:left w:val="single" w:color="000000" w:sz="8" w:space="0"/>
              <w:right w:val="single" w:color="000000" w:sz="8" w:space="0"/>
            </w:tcBorders>
            <w:vAlign w:val="center"/>
          </w:tcPr>
          <w:p>
            <w:pPr>
              <w:widowControl/>
              <w:textAlignment w:val="cente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食品处理区裸露食品正上方的照明设施，应使用安全型照明设施或安装防护罩</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50</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82" w:hRule="atLeast"/>
        </w:trPr>
        <w:tc>
          <w:tcPr>
            <w:tcW w:w="1422" w:type="dxa"/>
            <w:vMerge w:val="continue"/>
            <w:tcBorders>
              <w:left w:val="single" w:color="000000" w:sz="8" w:space="0"/>
              <w:bottom w:val="single" w:color="000000" w:sz="8" w:space="0"/>
              <w:right w:val="single" w:color="000000" w:sz="8" w:space="0"/>
            </w:tcBorders>
            <w:noWrap/>
            <w:vAlign w:val="center"/>
          </w:tcPr>
          <w:p>
            <w:pPr>
              <w:rPr>
                <w:rFonts w:ascii="宋体" w:hAnsi="宋体" w:cs="宋体"/>
                <w:color w:val="000000"/>
                <w:sz w:val="22"/>
                <w:szCs w:val="22"/>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冷库照明应使用防爆灯</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51</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25" w:hRule="atLeast"/>
        </w:trPr>
        <w:tc>
          <w:tcPr>
            <w:tcW w:w="1422" w:type="dxa"/>
            <w:vMerge w:val="restart"/>
            <w:tcBorders>
              <w:top w:val="nil"/>
              <w:left w:val="single" w:color="000000" w:sz="8" w:space="0"/>
              <w:right w:val="single" w:color="000000" w:sz="8" w:space="0"/>
            </w:tcBorders>
            <w:vAlign w:val="center"/>
          </w:tcPr>
          <w:p>
            <w:pP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11.废弃物暂存</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食品处理区设废弃物存放设施，废弃物容器与食品加工制作容器有明显的区分标识</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52</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left w:val="single" w:color="000000" w:sz="8" w:space="0"/>
              <w:bottom w:val="single" w:color="000000" w:sz="8" w:space="0"/>
              <w:right w:val="single" w:color="000000" w:sz="8" w:space="0"/>
            </w:tcBorders>
            <w:vAlign w:val="center"/>
          </w:tcPr>
          <w:p>
            <w:pPr>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废弃物存放设施应有盖，以坚固及不透水的材料制造，内壁光滑便于清洗</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53</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470" w:hRule="atLeast"/>
        </w:trPr>
        <w:tc>
          <w:tcPr>
            <w:tcW w:w="1422" w:type="dxa"/>
            <w:vMerge w:val="restart"/>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12.</w:t>
            </w:r>
            <w:r>
              <w:rPr>
                <w:rFonts w:hint="eastAsia" w:ascii="仿宋_GB2312" w:hAnsi="宋体" w:eastAsia="仿宋_GB2312" w:cs="仿宋_GB2312"/>
                <w:color w:val="000000"/>
                <w:kern w:val="0"/>
              </w:rPr>
              <w:t>库房</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bookmarkStart w:id="1" w:name="_Hlk85020551"/>
            <w:r>
              <w:rPr>
                <w:rFonts w:hint="eastAsia" w:ascii="仿宋_GB2312" w:hAnsi="宋体" w:eastAsia="仿宋_GB2312" w:cs="仿宋_GB2312"/>
                <w:kern w:val="0"/>
                <w:szCs w:val="21"/>
                <w:lang w:bidi="ar"/>
              </w:rPr>
              <w:t>库房内设置数量足够的物品存放架，能使贮存的食品离地离墙存放，距离地面应10cm以上，距离墙壁宜10cm以上</w:t>
            </w:r>
            <w:bookmarkEnd w:id="1"/>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54</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除冷库外的库房设置通风、防潮及防止有害生物入侵的装置。设置挡鼠板（金属材质或非金属材质包铁皮），高度应不低于60cm</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55</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库房应设有温湿度计</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冷库、柜数量和结构应能使原料、半成品和成品分开存放，有区分标识</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57</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使用食品添加剂的应设专柜（位）贮存，标注“食品添加剂”字样，并与食品、食品相关产品等分开存放。</w:t>
            </w:r>
          </w:p>
        </w:tc>
        <w:tc>
          <w:tcPr>
            <w:tcW w:w="576"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rPr>
            </w:pPr>
            <w:r>
              <w:rPr>
                <w:rFonts w:hint="eastAsia" w:ascii="仿宋_GB2312" w:hAnsi="宋体" w:eastAsia="仿宋_GB2312" w:cs="仿宋_GB2312"/>
                <w:color w:val="000000"/>
              </w:rPr>
              <w:t>58</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snapToGrid w:val="0"/>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80" w:hRule="atLeast"/>
        </w:trPr>
        <w:tc>
          <w:tcPr>
            <w:tcW w:w="1422" w:type="dxa"/>
            <w:vMerge w:val="continue"/>
            <w:tcBorders>
              <w:top w:val="nil"/>
              <w:left w:val="single" w:color="000000" w:sz="8" w:space="0"/>
              <w:bottom w:val="single" w:color="auto" w:sz="4"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制作冷链食品，应配备具有温度控制功能的专用成品库房。库房面积及空间应满足成品贮存周转的需要，制冷设备的性能参数应能满足成品冷藏的质量要求。</w:t>
            </w:r>
          </w:p>
        </w:tc>
        <w:tc>
          <w:tcPr>
            <w:tcW w:w="576"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59</w:t>
            </w:r>
          </w:p>
        </w:tc>
        <w:tc>
          <w:tcPr>
            <w:tcW w:w="821"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w:t>
            </w:r>
          </w:p>
        </w:tc>
        <w:tc>
          <w:tcPr>
            <w:tcW w:w="733" w:type="dxa"/>
            <w:tcBorders>
              <w:top w:val="nil"/>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auto" w:sz="4"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auto" w:sz="4"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80" w:hRule="atLeast"/>
        </w:trPr>
        <w:tc>
          <w:tcPr>
            <w:tcW w:w="14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13.冷却间、分装（餐）间</w:t>
            </w: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需要对直接入口食品进行冷却、分装（餐）的，应按照专间要求设置冷却间（使用速冷设备的除外）、分装（餐）间，冷却间应配备能满足冷却要求的制冷设备</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60</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8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专间的面积≥食品处理区面积的10%，且分装（餐）间面积应≥15</w:t>
            </w:r>
            <w:r>
              <w:rPr>
                <w:rFonts w:hint="eastAsia" w:ascii="方正仿宋_GBK" w:hAnsi="方正仿宋_GBK" w:eastAsia="方正仿宋_GBK" w:cs="方正仿宋_GBK"/>
                <w:kern w:val="0"/>
                <w:szCs w:val="21"/>
                <w:lang w:val="zh-CN" w:bidi="ar"/>
              </w:rPr>
              <w:t>㎡</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45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专间入口处应当设置独立的洗手、消毒、更衣设施，洗手设施的水龙头应采用非手动式</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62</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8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食品处理区总面积1000</w:t>
            </w:r>
            <w:r>
              <w:rPr>
                <w:rFonts w:hint="eastAsia" w:ascii="方正仿宋_GBK" w:hAnsi="方正仿宋_GBK" w:eastAsia="方正仿宋_GBK" w:cs="方正仿宋_GBK"/>
                <w:kern w:val="0"/>
                <w:szCs w:val="21"/>
                <w:lang w:val="zh-CN" w:bidi="ar"/>
              </w:rPr>
              <w:t>㎡</w:t>
            </w:r>
            <w:r>
              <w:rPr>
                <w:rFonts w:hint="eastAsia" w:ascii="仿宋_GB2312" w:hAnsi="宋体" w:eastAsia="仿宋_GB2312" w:cs="仿宋_GB2312"/>
                <w:kern w:val="0"/>
                <w:szCs w:val="21"/>
                <w:lang w:bidi="ar"/>
              </w:rPr>
              <w:t>以上的，分装（餐）间设置独立的二次更衣间</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63</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04"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应设置调温设施、配备环境温度计</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64</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0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设置空气消毒设施。使用紫外线消毒的，灯管应距地面2</w:t>
            </w:r>
            <w:r>
              <w:rPr>
                <w:rFonts w:hint="eastAsia" w:ascii="仿宋_GB2312" w:hAnsi="宋体" w:eastAsia="仿宋_GB2312" w:cs="仿宋_GB2312"/>
                <w:kern w:val="0"/>
                <w:szCs w:val="21"/>
                <w:lang w:val="en" w:bidi="ar"/>
              </w:rPr>
              <w:t>m</w:t>
            </w:r>
            <w:r>
              <w:rPr>
                <w:rFonts w:hint="eastAsia" w:ascii="仿宋_GB2312" w:hAnsi="宋体" w:eastAsia="仿宋_GB2312" w:cs="仿宋_GB2312"/>
                <w:kern w:val="0"/>
                <w:szCs w:val="21"/>
                <w:lang w:bidi="ar"/>
              </w:rPr>
              <w:t>以内，并配有反光罩</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65</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48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专间墙壁应铺设到顶</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66</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7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应设置可开闭式食品传递窗口，除传递窗口和人员通道外，不设置其他可开闭的门窗；门应能自动关闭，</w:t>
            </w:r>
            <w:r>
              <w:rPr>
                <w:rFonts w:hint="eastAsia" w:ascii="仿宋_GB2312" w:hAnsi="宋体" w:eastAsia="仿宋_GB2312" w:cs="仿宋_GB2312"/>
                <w:kern w:val="0"/>
                <w:szCs w:val="21"/>
                <w:lang w:val="zh-CN" w:bidi="ar"/>
              </w:rPr>
              <w:t>门、窗应闭合严密</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67</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49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制作热链食品的，配备保温分餐台或食品再加热设备</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68</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90"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废弃物容器盖子为非手动开启式；排水不得设置明沟，地漏带水封，应能防止废弃物流入及浊气逸出</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69</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99"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Cs w:val="21"/>
                <w:lang w:bidi="ar"/>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分装（餐）间至少设置1个水池</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70</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37" w:hRule="atLeast"/>
        </w:trPr>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14.备餐（装箱）间</w:t>
            </w: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备餐间应紧邻分装（餐）间设置，与其他场所分离</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71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445" w:hRule="atLeast"/>
        </w:trPr>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面积及设施应满足待配送食品存放的需要</w:t>
            </w:r>
          </w:p>
        </w:tc>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72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1072" w:hRule="atLeast"/>
        </w:trPr>
        <w:tc>
          <w:tcPr>
            <w:tcW w:w="1422" w:type="dxa"/>
            <w:vMerge w:val="restart"/>
            <w:tcBorders>
              <w:top w:val="single" w:color="auto" w:sz="4" w:space="0"/>
              <w:left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15.更衣室</w:t>
            </w:r>
          </w:p>
        </w:tc>
        <w:tc>
          <w:tcPr>
            <w:tcW w:w="7763" w:type="dxa"/>
            <w:tcBorders>
              <w:top w:val="single" w:color="auto" w:sz="4" w:space="0"/>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更衣场所与加工经营场所处于同一建筑物内，设在工作人员进入操作场所入口处。有与经营项目和经营规模相适应的空间，设置充足的更衣、换鞋和照明、洗手、消毒、干手等设施</w:t>
            </w:r>
          </w:p>
        </w:tc>
        <w:tc>
          <w:tcPr>
            <w:tcW w:w="576"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73</w:t>
            </w:r>
          </w:p>
        </w:tc>
        <w:tc>
          <w:tcPr>
            <w:tcW w:w="82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90" w:hRule="atLeast"/>
        </w:trPr>
        <w:tc>
          <w:tcPr>
            <w:tcW w:w="1422" w:type="dxa"/>
            <w:vMerge w:val="continue"/>
            <w:tcBorders>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kern w:val="0"/>
                <w:szCs w:val="21"/>
                <w:lang w:bidi="ar"/>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加工操作场所入口处设置风淋室及工作鞋（靴）底清洁消毒设施</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74</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restart"/>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16.厕所</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食品处理区内不得设置厕所，且厕所出入口不应直对食品处理区</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75</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84"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出口附近应当设置洗手设施（如果厕所在食品处理区外，没有必要设置消毒设施，因为进入处理区会有洗手消毒，更衣，脚部消毒等设施）</w:t>
            </w:r>
          </w:p>
        </w:tc>
        <w:tc>
          <w:tcPr>
            <w:tcW w:w="576"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76</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与外界直接相通的门应能自动关闭，将洗手消毒设施与厕所门开启进行联动</w:t>
            </w:r>
          </w:p>
        </w:tc>
        <w:tc>
          <w:tcPr>
            <w:tcW w:w="576"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77</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72"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设置冲水式便池、通风设施、清洁设施</w:t>
            </w:r>
          </w:p>
        </w:tc>
        <w:tc>
          <w:tcPr>
            <w:tcW w:w="576" w:type="dxa"/>
            <w:tcBorders>
              <w:top w:val="nil"/>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rPr>
            </w:pPr>
            <w:r>
              <w:rPr>
                <w:rFonts w:hint="eastAsia" w:ascii="仿宋_GB2312" w:hAnsi="宋体" w:eastAsia="仿宋_GB2312" w:cs="仿宋_GB2312"/>
                <w:color w:val="000000"/>
                <w:szCs w:val="21"/>
              </w:rPr>
              <w:t>78</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800" w:hRule="atLeast"/>
        </w:trPr>
        <w:tc>
          <w:tcPr>
            <w:tcW w:w="1422" w:type="dxa"/>
            <w:vMerge w:val="restart"/>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17.运输设备</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配备与加工食品品种、数量以及贮存要求相适应的封闭式专用运输车辆及设备，根据食物特点，配备保温或冷藏等设施</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79</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525" w:hRule="atLeast"/>
        </w:trPr>
        <w:tc>
          <w:tcPr>
            <w:tcW w:w="1422" w:type="dxa"/>
            <w:vMerge w:val="continue"/>
            <w:tcBorders>
              <w:top w:val="nil"/>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运输车辆和容器内部材质和结构便于清洗和消毒</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rPr>
              <w:t>80</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80" w:hRule="atLeast"/>
        </w:trPr>
        <w:tc>
          <w:tcPr>
            <w:tcW w:w="1422" w:type="dxa"/>
            <w:vMerge w:val="restart"/>
            <w:tcBorders>
              <w:top w:val="nil"/>
              <w:left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18.食品检验</w:t>
            </w: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设置与加工制作的食品品种相适应的检验室。没有条件设置检验室的，可以委托有资质的检验机构代行检验，申请许可时应当提交相关委托协议等证明文件备案</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81</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620" w:hRule="atLeast"/>
        </w:trPr>
        <w:tc>
          <w:tcPr>
            <w:tcW w:w="1422" w:type="dxa"/>
            <w:vMerge w:val="continue"/>
            <w:tcBorders>
              <w:left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检验室应采用独立通风设施，配备相应的仪器设备以及标准物质。微生物检验室应设有空气消毒设施</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82</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578" w:hRule="atLeast"/>
        </w:trPr>
        <w:tc>
          <w:tcPr>
            <w:tcW w:w="1422" w:type="dxa"/>
            <w:vMerge w:val="continue"/>
            <w:tcBorders>
              <w:left w:val="single" w:color="000000" w:sz="8" w:space="0"/>
              <w:bottom w:val="single" w:color="000000" w:sz="8" w:space="0"/>
              <w:right w:val="single" w:color="000000" w:sz="8" w:space="0"/>
            </w:tcBorders>
            <w:vAlign w:val="center"/>
          </w:tcPr>
          <w:p>
            <w:pPr>
              <w:jc w:val="left"/>
              <w:rPr>
                <w:rFonts w:ascii="仿宋_GB2312" w:hAnsi="宋体" w:eastAsia="仿宋_GB2312" w:cs="仿宋_GB2312"/>
                <w:color w:val="000000"/>
              </w:rPr>
            </w:pPr>
          </w:p>
        </w:tc>
        <w:tc>
          <w:tcPr>
            <w:tcW w:w="7763"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配备与检验项目相适应的检验设施和检验人员</w:t>
            </w:r>
          </w:p>
        </w:tc>
        <w:tc>
          <w:tcPr>
            <w:tcW w:w="57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83</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w:t>
            </w:r>
          </w:p>
        </w:tc>
        <w:tc>
          <w:tcPr>
            <w:tcW w:w="733" w:type="dxa"/>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nil"/>
              <w:left w:val="single" w:color="000000" w:sz="8" w:space="0"/>
              <w:bottom w:val="single" w:color="000000" w:sz="8"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trHeight w:val="665" w:hRule="atLeast"/>
        </w:trPr>
        <w:tc>
          <w:tcPr>
            <w:tcW w:w="1422" w:type="dxa"/>
            <w:tcBorders>
              <w:top w:val="single" w:color="000000" w:sz="8" w:space="0"/>
              <w:left w:val="single" w:color="000000" w:sz="8" w:space="0"/>
              <w:bottom w:val="single" w:color="auto" w:sz="4"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19.食品留样</w:t>
            </w:r>
          </w:p>
        </w:tc>
        <w:tc>
          <w:tcPr>
            <w:tcW w:w="7763" w:type="dxa"/>
            <w:tcBorders>
              <w:top w:val="single" w:color="000000" w:sz="8" w:space="0"/>
              <w:left w:val="single" w:color="000000" w:sz="8" w:space="0"/>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配备专用留样容器和冷藏设施，以及留样管理人员</w:t>
            </w:r>
          </w:p>
        </w:tc>
        <w:tc>
          <w:tcPr>
            <w:tcW w:w="576"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szCs w:val="21"/>
              </w:rPr>
              <w:t>84</w:t>
            </w:r>
          </w:p>
        </w:tc>
        <w:tc>
          <w:tcPr>
            <w:tcW w:w="821"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w:t>
            </w:r>
          </w:p>
        </w:tc>
        <w:tc>
          <w:tcPr>
            <w:tcW w:w="733" w:type="dxa"/>
            <w:tcBorders>
              <w:top w:val="single" w:color="000000" w:sz="8"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rPr>
            </w:pPr>
            <w:r>
              <w:rPr>
                <w:rFonts w:hint="eastAsia" w:ascii="仿宋_GB2312" w:hAnsi="等线" w:eastAsia="仿宋_GB2312" w:cs="宋体"/>
                <w:color w:val="000000"/>
                <w:kern w:val="0"/>
              </w:rPr>
              <w:t>　</w:t>
            </w:r>
          </w:p>
        </w:tc>
        <w:tc>
          <w:tcPr>
            <w:tcW w:w="892" w:type="dxa"/>
            <w:tcBorders>
              <w:top w:val="single" w:color="000000" w:sz="8" w:space="0"/>
              <w:left w:val="single" w:color="000000" w:sz="8" w:space="0"/>
              <w:bottom w:val="single" w:color="auto" w:sz="4"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000000" w:sz="8" w:space="0"/>
              <w:left w:val="single" w:color="000000" w:sz="8" w:space="0"/>
              <w:bottom w:val="single" w:color="auto" w:sz="4" w:space="0"/>
              <w:right w:val="single" w:color="000000" w:sz="8" w:space="0"/>
            </w:tcBorders>
            <w:vAlign w:val="center"/>
          </w:tcPr>
          <w:p>
            <w:pPr>
              <w:widowControl/>
              <w:jc w:val="left"/>
              <w:textAlignment w:val="center"/>
              <w:rPr>
                <w:rFonts w:ascii="仿宋_GB2312" w:hAnsi="宋体" w:eastAsia="仿宋_GB2312" w:cs="仿宋_GB2312"/>
                <w:color w:val="000000"/>
              </w:rPr>
            </w:pPr>
            <w:r>
              <w:rPr>
                <w:rFonts w:hint="eastAsia" w:ascii="仿宋_GB2312" w:hAnsi="宋体" w:eastAsia="仿宋_GB2312" w:cs="仿宋_GB2312"/>
                <w:color w:val="000000"/>
                <w:kern w:val="0"/>
                <w:szCs w:val="21"/>
                <w:lang w:bidi="ar"/>
              </w:rPr>
              <w:t>不得缺项</w:t>
            </w:r>
          </w:p>
        </w:tc>
      </w:tr>
      <w:tr>
        <w:tblPrEx>
          <w:tblCellMar>
            <w:top w:w="0" w:type="dxa"/>
            <w:left w:w="108" w:type="dxa"/>
            <w:bottom w:w="0" w:type="dxa"/>
            <w:right w:w="108" w:type="dxa"/>
          </w:tblCellMar>
        </w:tblPrEx>
        <w:trPr>
          <w:trHeight w:val="757" w:hRule="atLeast"/>
        </w:trPr>
        <w:tc>
          <w:tcPr>
            <w:tcW w:w="1422" w:type="dxa"/>
            <w:tcBorders>
              <w:top w:val="single" w:color="auto" w:sz="4" w:space="0"/>
              <w:left w:val="single" w:color="000000" w:sz="8" w:space="0"/>
              <w:bottom w:val="single" w:color="auto" w:sz="4" w:space="0"/>
              <w:right w:val="single" w:color="000000" w:sz="8" w:space="0"/>
            </w:tcBorders>
            <w:vAlign w:val="center"/>
          </w:tcPr>
          <w:p>
            <w:pPr>
              <w:widowControl/>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20.视频监控</w:t>
            </w:r>
          </w:p>
        </w:tc>
        <w:tc>
          <w:tcPr>
            <w:tcW w:w="7763" w:type="dxa"/>
            <w:tcBorders>
              <w:top w:val="single" w:color="auto" w:sz="4" w:space="0"/>
              <w:left w:val="single" w:color="000000" w:sz="8" w:space="0"/>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在食品处理区的关键部位安装视频监控，实现加工制作过程可视化。运用现代信息技术，实现“互联网+明厨亮灶”</w:t>
            </w:r>
          </w:p>
        </w:tc>
        <w:tc>
          <w:tcPr>
            <w:tcW w:w="576"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szCs w:val="21"/>
              </w:rPr>
            </w:pPr>
            <w:r>
              <w:rPr>
                <w:rFonts w:hint="eastAsia" w:ascii="仿宋_GB2312" w:hAnsi="等线" w:eastAsia="仿宋_GB2312" w:cs="宋体"/>
                <w:color w:val="000000"/>
                <w:kern w:val="0"/>
              </w:rPr>
              <w:t>85</w:t>
            </w:r>
          </w:p>
        </w:tc>
        <w:tc>
          <w:tcPr>
            <w:tcW w:w="821"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w:t>
            </w:r>
            <w:r>
              <w:rPr>
                <w:rFonts w:ascii="仿宋_GB2312" w:hAnsi="宋体" w:eastAsia="仿宋_GB2312" w:cs="仿宋_GB2312"/>
                <w:color w:val="000000"/>
                <w:kern w:val="0"/>
              </w:rPr>
              <w:t>*</w:t>
            </w:r>
          </w:p>
        </w:tc>
        <w:tc>
          <w:tcPr>
            <w:tcW w:w="733" w:type="dxa"/>
            <w:tcBorders>
              <w:top w:val="single" w:color="auto" w:sz="4" w:space="0"/>
              <w:left w:val="single" w:color="000000" w:sz="8" w:space="0"/>
              <w:bottom w:val="single" w:color="auto" w:sz="4" w:space="0"/>
              <w:right w:val="single" w:color="000000" w:sz="8" w:space="0"/>
            </w:tcBorders>
            <w:vAlign w:val="center"/>
          </w:tcPr>
          <w:p>
            <w:pPr>
              <w:widowControl/>
              <w:jc w:val="left"/>
              <w:rPr>
                <w:rFonts w:ascii="仿宋_GB2312" w:hAnsi="宋体" w:eastAsia="仿宋_GB2312" w:cs="仿宋_GB2312"/>
                <w:color w:val="000000"/>
              </w:rPr>
            </w:pPr>
            <w:r>
              <w:rPr>
                <w:rFonts w:hint="eastAsia" w:ascii="仿宋_GB2312" w:hAnsi="等线" w:eastAsia="仿宋_GB2312" w:cs="宋体"/>
                <w:color w:val="000000"/>
                <w:kern w:val="0"/>
                <w:sz w:val="22"/>
                <w:szCs w:val="22"/>
              </w:rPr>
              <w:t>　</w:t>
            </w:r>
          </w:p>
        </w:tc>
        <w:tc>
          <w:tcPr>
            <w:tcW w:w="892"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073" w:type="dxa"/>
            <w:tcBorders>
              <w:top w:val="single" w:color="auto" w:sz="4" w:space="0"/>
              <w:left w:val="single" w:color="000000" w:sz="8" w:space="0"/>
              <w:bottom w:val="single" w:color="auto" w:sz="4" w:space="0"/>
              <w:right w:val="single" w:color="000000" w:sz="8" w:space="0"/>
            </w:tcBorders>
            <w:vAlign w:val="center"/>
          </w:tcPr>
          <w:p>
            <w:pPr>
              <w:widowControl/>
              <w:jc w:val="center"/>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trHeight w:val="1251" w:hRule="atLeast"/>
        </w:trPr>
        <w:tc>
          <w:tcPr>
            <w:tcW w:w="1422" w:type="dxa"/>
            <w:tcBorders>
              <w:top w:val="single" w:color="auto" w:sz="4" w:space="0"/>
              <w:left w:val="single" w:color="000000" w:sz="8" w:space="0"/>
              <w:bottom w:val="single" w:color="auto" w:sz="4" w:space="0"/>
              <w:right w:val="single" w:color="000000" w:sz="8" w:space="0"/>
            </w:tcBorders>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21.制度</w:t>
            </w:r>
          </w:p>
        </w:tc>
        <w:tc>
          <w:tcPr>
            <w:tcW w:w="7763" w:type="dxa"/>
            <w:tcBorders>
              <w:top w:val="single" w:color="auto" w:sz="4" w:space="0"/>
              <w:left w:val="single" w:color="000000" w:sz="8" w:space="0"/>
              <w:bottom w:val="single" w:color="auto" w:sz="4"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制定与实际经营状况相符合的保证食品安全的规章制度并形成书面材料，主要制度内容应包括从业人员健康管理制度、从业人员培训制度、食品安全自查制度、食品进货查验记录制度、食品贮存管理制度、不合格食品处置制度、食品安全突发事件应急处置方案等</w:t>
            </w:r>
          </w:p>
        </w:tc>
        <w:tc>
          <w:tcPr>
            <w:tcW w:w="576" w:type="dxa"/>
            <w:tcBorders>
              <w:top w:val="single" w:color="auto" w:sz="4" w:space="0"/>
              <w:left w:val="single" w:color="000000" w:sz="8" w:space="0"/>
              <w:bottom w:val="single" w:color="auto" w:sz="4"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86</w:t>
            </w:r>
          </w:p>
        </w:tc>
        <w:tc>
          <w:tcPr>
            <w:tcW w:w="821" w:type="dxa"/>
            <w:tcBorders>
              <w:top w:val="single" w:color="auto" w:sz="4" w:space="0"/>
              <w:left w:val="single" w:color="000000" w:sz="8" w:space="0"/>
              <w:bottom w:val="single" w:color="auto" w:sz="4"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ascii="仿宋_GB2312" w:hAnsi="宋体" w:eastAsia="仿宋_GB2312" w:cs="仿宋_GB2312"/>
                <w:color w:val="000000"/>
                <w:kern w:val="0"/>
              </w:rPr>
              <w:t>**</w:t>
            </w:r>
          </w:p>
        </w:tc>
        <w:tc>
          <w:tcPr>
            <w:tcW w:w="733" w:type="dxa"/>
            <w:tcBorders>
              <w:top w:val="single" w:color="auto" w:sz="4" w:space="0"/>
              <w:left w:val="single" w:color="000000" w:sz="8" w:space="0"/>
              <w:bottom w:val="single" w:color="auto" w:sz="4" w:space="0"/>
              <w:right w:val="single" w:color="000000" w:sz="8" w:space="0"/>
            </w:tcBorders>
            <w:vAlign w:val="center"/>
          </w:tcPr>
          <w:p>
            <w:pPr>
              <w:widowControl/>
              <w:snapToGrid w:val="0"/>
              <w:jc w:val="center"/>
              <w:rPr>
                <w:rFonts w:ascii="仿宋_GB2312" w:hAnsi="等线" w:eastAsia="仿宋_GB2312" w:cs="宋体"/>
                <w:color w:val="000000"/>
                <w:kern w:val="0"/>
                <w:sz w:val="22"/>
                <w:szCs w:val="22"/>
              </w:rPr>
            </w:pPr>
            <w:r>
              <w:rPr>
                <w:rFonts w:hint="eastAsia" w:ascii="仿宋_GB2312" w:hAnsi="宋体" w:eastAsia="仿宋_GB2312" w:cs="仿宋_GB2312"/>
                <w:color w:val="000000"/>
                <w:kern w:val="0"/>
              </w:rPr>
              <w:t>　</w:t>
            </w:r>
          </w:p>
        </w:tc>
        <w:tc>
          <w:tcPr>
            <w:tcW w:w="892" w:type="dxa"/>
            <w:tcBorders>
              <w:top w:val="single" w:color="auto" w:sz="4" w:space="0"/>
              <w:left w:val="single" w:color="000000" w:sz="8" w:space="0"/>
              <w:bottom w:val="single" w:color="auto" w:sz="4"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宋体" w:eastAsia="仿宋_GB2312" w:cs="仿宋_GB2312"/>
                <w:color w:val="000000"/>
                <w:kern w:val="0"/>
              </w:rPr>
              <w:t>　</w:t>
            </w:r>
          </w:p>
        </w:tc>
        <w:tc>
          <w:tcPr>
            <w:tcW w:w="1073" w:type="dxa"/>
            <w:tcBorders>
              <w:top w:val="single" w:color="auto" w:sz="4" w:space="0"/>
              <w:left w:val="single" w:color="000000" w:sz="8" w:space="0"/>
              <w:bottom w:val="single" w:color="auto" w:sz="4"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宋体" w:eastAsia="仿宋_GB2312" w:cs="仿宋_GB2312"/>
                <w:color w:val="000000"/>
                <w:kern w:val="0"/>
              </w:rPr>
              <w:t>不得缺项</w:t>
            </w:r>
          </w:p>
        </w:tc>
      </w:tr>
      <w:tr>
        <w:tblPrEx>
          <w:tblCellMar>
            <w:top w:w="0" w:type="dxa"/>
            <w:left w:w="108" w:type="dxa"/>
            <w:bottom w:w="0" w:type="dxa"/>
            <w:right w:w="108" w:type="dxa"/>
          </w:tblCellMar>
        </w:tblPrEx>
        <w:trPr>
          <w:trHeight w:val="757" w:hRule="atLeast"/>
        </w:trPr>
        <w:tc>
          <w:tcPr>
            <w:tcW w:w="1422" w:type="dxa"/>
            <w:tcBorders>
              <w:top w:val="single" w:color="auto" w:sz="4" w:space="0"/>
              <w:left w:val="single" w:color="000000" w:sz="8" w:space="0"/>
              <w:bottom w:val="single" w:color="000000" w:sz="8" w:space="0"/>
              <w:right w:val="single" w:color="000000" w:sz="8" w:space="0"/>
            </w:tcBorders>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22.人员</w:t>
            </w:r>
          </w:p>
        </w:tc>
        <w:tc>
          <w:tcPr>
            <w:tcW w:w="7763" w:type="dxa"/>
            <w:tcBorders>
              <w:top w:val="single" w:color="auto" w:sz="4" w:space="0"/>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val="zh-CN" w:bidi="ar"/>
              </w:rPr>
              <w:t>食品经营单位应当配备专职或兼职食品安全总监、食品安全员等食品安全管理人员</w:t>
            </w:r>
          </w:p>
        </w:tc>
        <w:tc>
          <w:tcPr>
            <w:tcW w:w="576" w:type="dxa"/>
            <w:tcBorders>
              <w:top w:val="single" w:color="auto" w:sz="4" w:space="0"/>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等线" w:eastAsia="仿宋_GB2312" w:cs="宋体"/>
                <w:color w:val="000000"/>
                <w:kern w:val="0"/>
              </w:rPr>
              <w:t>87</w:t>
            </w:r>
          </w:p>
        </w:tc>
        <w:tc>
          <w:tcPr>
            <w:tcW w:w="821" w:type="dxa"/>
            <w:tcBorders>
              <w:top w:val="single" w:color="auto" w:sz="4" w:space="0"/>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ascii="仿宋_GB2312" w:hAnsi="宋体" w:eastAsia="仿宋_GB2312" w:cs="仿宋_GB2312"/>
                <w:color w:val="000000"/>
                <w:kern w:val="0"/>
              </w:rPr>
              <w:t>**</w:t>
            </w:r>
          </w:p>
        </w:tc>
        <w:tc>
          <w:tcPr>
            <w:tcW w:w="733" w:type="dxa"/>
            <w:tcBorders>
              <w:top w:val="single" w:color="auto" w:sz="4" w:space="0"/>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sz w:val="22"/>
                <w:szCs w:val="22"/>
              </w:rPr>
            </w:pPr>
            <w:r>
              <w:rPr>
                <w:rFonts w:hint="eastAsia" w:ascii="仿宋_GB2312" w:hAnsi="宋体" w:eastAsia="仿宋_GB2312" w:cs="仿宋_GB2312"/>
                <w:color w:val="000000"/>
                <w:kern w:val="0"/>
              </w:rPr>
              <w:t>　</w:t>
            </w:r>
          </w:p>
        </w:tc>
        <w:tc>
          <w:tcPr>
            <w:tcW w:w="892" w:type="dxa"/>
            <w:tcBorders>
              <w:top w:val="single" w:color="auto" w:sz="4" w:space="0"/>
              <w:left w:val="single" w:color="000000" w:sz="8" w:space="0"/>
              <w:bottom w:val="single" w:color="000000" w:sz="8" w:space="0"/>
              <w:right w:val="single" w:color="000000"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宋体" w:eastAsia="仿宋_GB2312" w:cs="仿宋_GB2312"/>
                <w:color w:val="000000"/>
                <w:kern w:val="0"/>
              </w:rPr>
              <w:t>　</w:t>
            </w:r>
          </w:p>
        </w:tc>
        <w:tc>
          <w:tcPr>
            <w:tcW w:w="1073" w:type="dxa"/>
            <w:tcBorders>
              <w:top w:val="single" w:color="auto" w:sz="4" w:space="0"/>
              <w:left w:val="single" w:color="000000" w:sz="8" w:space="0"/>
              <w:bottom w:val="single" w:color="000000" w:sz="8" w:space="0"/>
              <w:right w:val="single" w:color="000000" w:sz="8" w:space="0"/>
            </w:tcBorders>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不得缺项</w:t>
            </w:r>
          </w:p>
        </w:tc>
      </w:tr>
    </w:tbl>
    <w:p>
      <w:pPr>
        <w:rPr>
          <w:rFonts w:ascii="仿宋_GB2312" w:eastAsia="仿宋_GB2312" w:cs="仿宋_GB2312"/>
          <w:color w:val="000000"/>
        </w:rPr>
      </w:pPr>
      <w:r>
        <w:rPr>
          <w:rFonts w:hint="eastAsia" w:ascii="仿宋_GB2312" w:eastAsia="仿宋_GB2312" w:cs="仿宋_GB2312"/>
        </w:rPr>
        <w:t>说明：本表共87项，其中重点项5</w:t>
      </w:r>
      <w:r>
        <w:rPr>
          <w:rFonts w:hint="eastAsia" w:ascii="仿宋_GB2312" w:eastAsia="仿宋_GB2312" w:cs="仿宋_GB2312"/>
          <w:lang w:val="en-US" w:eastAsia="zh-CN"/>
        </w:rPr>
        <w:t>3</w:t>
      </w:r>
      <w:r>
        <w:rPr>
          <w:rFonts w:hint="eastAsia" w:ascii="仿宋_GB2312" w:eastAsia="仿宋_GB2312" w:cs="仿宋_GB2312"/>
        </w:rPr>
        <w:t>项，一般项3</w:t>
      </w:r>
      <w:r>
        <w:rPr>
          <w:rFonts w:hint="eastAsia" w:ascii="仿宋_GB2312" w:eastAsia="仿宋_GB2312" w:cs="仿宋_GB2312"/>
          <w:lang w:val="en-US" w:eastAsia="zh-CN"/>
        </w:rPr>
        <w:t>2</w:t>
      </w:r>
      <w:r>
        <w:rPr>
          <w:rFonts w:hint="eastAsia" w:ascii="仿宋_GB2312" w:eastAsia="仿宋_GB2312" w:cs="仿宋_GB2312"/>
        </w:rPr>
        <w:t>项；</w:t>
      </w:r>
      <w:r>
        <w:rPr>
          <w:rFonts w:ascii="仿宋_GB2312" w:eastAsia="仿宋_GB2312" w:cs="仿宋_GB2312"/>
        </w:rPr>
        <w:t>**</w:t>
      </w:r>
      <w:r>
        <w:rPr>
          <w:rFonts w:hint="eastAsia" w:ascii="仿宋_GB2312" w:eastAsia="仿宋_GB2312" w:cs="仿宋_GB2312"/>
        </w:rPr>
        <w:t>为重点项，</w:t>
      </w:r>
      <w:r>
        <w:rPr>
          <w:rFonts w:ascii="仿宋_GB2312" w:eastAsia="仿宋_GB2312" w:cs="仿宋_GB2312"/>
        </w:rPr>
        <w:t>*</w:t>
      </w:r>
      <w:r>
        <w:rPr>
          <w:rFonts w:hint="eastAsia" w:ascii="仿宋_GB2312" w:eastAsia="仿宋_GB2312" w:cs="仿宋_GB2312"/>
        </w:rPr>
        <w:t>为一般项。判定原则：</w:t>
      </w:r>
      <w:r>
        <w:rPr>
          <w:rFonts w:hint="eastAsia" w:ascii="仿宋_GB2312" w:eastAsia="仿宋_GB2312" w:cs="仿宋_GB2312"/>
          <w:color w:val="000000"/>
        </w:rPr>
        <w:t>重点项必须全部符合，一般项符合数</w:t>
      </w:r>
      <w:r>
        <w:rPr>
          <w:rFonts w:hint="eastAsia" w:ascii="仿宋" w:hAnsi="仿宋" w:eastAsia="仿宋" w:cs="仿宋"/>
          <w:color w:val="000000"/>
        </w:rPr>
        <w:t>≥</w:t>
      </w:r>
      <w:r>
        <w:rPr>
          <w:rFonts w:hint="eastAsia" w:ascii="仿宋_GB2312" w:eastAsia="仿宋_GB2312" w:cs="仿宋_GB2312"/>
          <w:color w:val="000000"/>
        </w:rPr>
        <w:t>所勾选一般项的70</w:t>
      </w:r>
      <w:r>
        <w:rPr>
          <w:rFonts w:ascii="仿宋_GB2312" w:eastAsia="仿宋_GB2312" w:cs="仿宋_GB2312"/>
          <w:color w:val="000000"/>
        </w:rPr>
        <w:t>%</w:t>
      </w:r>
    </w:p>
    <w:p>
      <w:pPr>
        <w:pStyle w:val="2"/>
        <w:rPr>
          <w:rFonts w:ascii="仿宋_GB2312" w:eastAsia="仿宋_GB2312" w:cs="仿宋_GB2312"/>
          <w:color w:val="000000"/>
        </w:rPr>
      </w:pPr>
    </w:p>
    <w:p>
      <w:pPr>
        <w:pStyle w:val="2"/>
        <w:rPr>
          <w:rFonts w:ascii="仿宋_GB2312" w:eastAsia="仿宋_GB2312" w:cs="仿宋_GB2312"/>
          <w:color w:val="000000"/>
        </w:rPr>
      </w:pPr>
    </w:p>
    <w:p>
      <w:pPr>
        <w:pStyle w:val="2"/>
        <w:rPr>
          <w:rFonts w:ascii="仿宋_GB2312" w:eastAsia="仿宋_GB2312" w:cs="仿宋_GB2312"/>
          <w:color w:val="000000"/>
        </w:rPr>
      </w:pPr>
    </w:p>
    <w:p>
      <w:pPr>
        <w:pStyle w:val="2"/>
        <w:rPr>
          <w:rFonts w:ascii="仿宋_GB2312" w:eastAsia="仿宋_GB2312" w:cs="仿宋_GB2312"/>
          <w:color w:val="000000"/>
        </w:rPr>
      </w:pPr>
    </w:p>
    <w:p>
      <w:pPr>
        <w:pStyle w:val="2"/>
        <w:rPr>
          <w:rFonts w:ascii="仿宋_GB2312" w:eastAsia="仿宋_GB2312" w:cs="仿宋_GB2312"/>
          <w:color w:val="000000"/>
        </w:rPr>
      </w:pPr>
    </w:p>
    <w:p>
      <w:pPr>
        <w:pStyle w:val="2"/>
        <w:rPr>
          <w:rFonts w:ascii="仿宋_GB2312" w:eastAsia="仿宋_GB2312" w:cs="仿宋_GB2312"/>
          <w:color w:val="000000"/>
        </w:rPr>
      </w:pPr>
    </w:p>
    <w:p>
      <w:pPr>
        <w:pStyle w:val="2"/>
        <w:rPr>
          <w:rFonts w:ascii="仿宋_GB2312" w:eastAsia="仿宋_GB2312" w:cs="仿宋_GB2312"/>
          <w:color w:val="000000"/>
        </w:rPr>
      </w:pPr>
    </w:p>
    <w:tbl>
      <w:tblPr>
        <w:tblStyle w:val="6"/>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restart"/>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spacing w:line="580" w:lineRule="atLeast"/>
              <w:jc w:val="center"/>
              <w:rPr>
                <w:rFonts w:hint="eastAsia" w:ascii="仿宋_GB2312" w:hAnsi="宋体" w:eastAsia="仿宋_GB2312" w:cs="仿宋_GB2312"/>
                <w:color w:val="000000"/>
                <w:kern w:val="0"/>
              </w:rPr>
            </w:pPr>
            <w:r>
              <w:rPr>
                <w:rFonts w:hint="eastAsia" w:ascii="黑体" w:hAnsi="黑体" w:eastAsia="黑体"/>
                <w:sz w:val="30"/>
                <w:szCs w:val="30"/>
              </w:rPr>
              <w:t>记录</w:t>
            </w: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重点项：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pStyle w:val="2"/>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continue"/>
            <w:vAlign w:val="center"/>
          </w:tcPr>
          <w:p>
            <w:pPr>
              <w:spacing w:line="580" w:lineRule="atLeast"/>
              <w:jc w:val="center"/>
              <w:rPr>
                <w:rFonts w:hint="eastAsia"/>
              </w:rPr>
            </w:pP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一般项：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pStyle w:val="2"/>
              <w:ind w:left="0" w:leftChars="0" w:firstLine="0" w:firstLineChars="0"/>
              <w:jc w:val="center"/>
              <w:rPr>
                <w:rFonts w:hint="eastAsia"/>
              </w:rPr>
            </w:pPr>
            <w:r>
              <w:rPr>
                <w:rFonts w:hint="eastAsia" w:ascii="黑体" w:hAnsi="黑体" w:eastAsia="黑体"/>
                <w:sz w:val="30"/>
                <w:szCs w:val="30"/>
              </w:rPr>
              <w:t>结论</w:t>
            </w:r>
          </w:p>
        </w:tc>
        <w:tc>
          <w:tcPr>
            <w:tcW w:w="11225" w:type="dxa"/>
            <w:vAlign w:val="center"/>
          </w:tcPr>
          <w:p>
            <w:pPr>
              <w:widowControl/>
              <w:adjustRightInd w:val="0"/>
              <w:snapToGrid w:val="0"/>
              <w:jc w:val="center"/>
              <w:rPr>
                <w:rFonts w:hint="eastAsia" w:ascii="仿宋_GB2312" w:hAnsi="宋体" w:eastAsia="仿宋_GB2312" w:cs="仿宋_GB2312"/>
                <w:color w:val="000000"/>
                <w:kern w:val="0"/>
              </w:rPr>
            </w:pPr>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top"/>
          </w:tcPr>
          <w:p>
            <w:pPr>
              <w:jc w:val="left"/>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仿宋_GB2312"/>
                <w:color w:val="000000"/>
                <w:kern w:val="0"/>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center"/>
          </w:tcPr>
          <w:p>
            <w:pPr>
              <w:widowControl/>
              <w:adjustRightInd w:val="0"/>
              <w:snapToGrid w:val="0"/>
              <w:jc w:val="left"/>
              <w:rPr>
                <w:rFonts w:hint="eastAsia" w:ascii="仿宋_GB2312" w:hAnsi="宋体" w:eastAsia="仿宋_GB2312" w:cs="仿宋_GB2312"/>
                <w:color w:val="000000"/>
                <w:kern w:val="0"/>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pPr>
        <w:spacing w:line="240" w:lineRule="auto"/>
        <w:rPr>
          <w:rFonts w:ascii="宋体" w:hAnsi="宋体" w:cs="宋体"/>
          <w:kern w:val="0"/>
          <w:lang w:val="zh-CN"/>
        </w:rPr>
      </w:pPr>
      <w:bookmarkStart w:id="2" w:name="_GoBack"/>
      <w:bookmarkEnd w:id="2"/>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9"/>
      <w:suff w:val="nothing"/>
      <w:lvlText w:val="%1%2.%3.%4　"/>
      <w:lvlJc w:val="left"/>
      <w:pPr>
        <w:ind w:left="426" w:firstLine="0"/>
      </w:pPr>
      <w:rPr>
        <w:rFonts w:hint="eastAsia" w:ascii="黑体" w:eastAsia="黑体"/>
        <w:b w:val="0"/>
        <w:i w:val="0"/>
        <w:color w:val="000000"/>
        <w:sz w:val="21"/>
      </w:rPr>
    </w:lvl>
    <w:lvl w:ilvl="4" w:tentative="0">
      <w:start w:val="1"/>
      <w:numFmt w:val="decimal"/>
      <w:suff w:val="nothing"/>
      <w:lvlText w:val="%1%2.%3.%4.%5　"/>
      <w:lvlJc w:val="left"/>
      <w:pPr>
        <w:ind w:left="567" w:firstLine="0"/>
      </w:pPr>
      <w:rPr>
        <w:rFonts w:hint="eastAsia" w:ascii="黑体" w:eastAsia="黑体"/>
        <w:b w:val="0"/>
        <w:i w:val="0"/>
        <w:color w:val="00000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OTE3ZmM3ZjdkZDU0Nzg5YTM4ZWM2NzAxZjEzZTAifQ=="/>
  </w:docVars>
  <w:rsids>
    <w:rsidRoot w:val="66235889"/>
    <w:rsid w:val="00002619"/>
    <w:rsid w:val="00187041"/>
    <w:rsid w:val="00212897"/>
    <w:rsid w:val="002A6B7F"/>
    <w:rsid w:val="002F54C1"/>
    <w:rsid w:val="00325626"/>
    <w:rsid w:val="00357713"/>
    <w:rsid w:val="003E244A"/>
    <w:rsid w:val="005608D1"/>
    <w:rsid w:val="00573D62"/>
    <w:rsid w:val="00593125"/>
    <w:rsid w:val="005B09E0"/>
    <w:rsid w:val="005E38C1"/>
    <w:rsid w:val="005F03EB"/>
    <w:rsid w:val="00650F31"/>
    <w:rsid w:val="00673805"/>
    <w:rsid w:val="0067659B"/>
    <w:rsid w:val="006D619C"/>
    <w:rsid w:val="007319CE"/>
    <w:rsid w:val="00736E6E"/>
    <w:rsid w:val="008063A5"/>
    <w:rsid w:val="00876C2A"/>
    <w:rsid w:val="008865A9"/>
    <w:rsid w:val="00941602"/>
    <w:rsid w:val="009558AD"/>
    <w:rsid w:val="00957F37"/>
    <w:rsid w:val="00A53E29"/>
    <w:rsid w:val="00AA4D33"/>
    <w:rsid w:val="00B4677C"/>
    <w:rsid w:val="00B738D7"/>
    <w:rsid w:val="00BB24FA"/>
    <w:rsid w:val="00BD2D6C"/>
    <w:rsid w:val="00C21935"/>
    <w:rsid w:val="00CD0AF9"/>
    <w:rsid w:val="00D1124A"/>
    <w:rsid w:val="00E53EEC"/>
    <w:rsid w:val="00F651C8"/>
    <w:rsid w:val="00F94A4F"/>
    <w:rsid w:val="24D1683E"/>
    <w:rsid w:val="32FF5F5A"/>
    <w:rsid w:val="3E770D32"/>
    <w:rsid w:val="3FDEC225"/>
    <w:rsid w:val="477BFB97"/>
    <w:rsid w:val="4FF680DF"/>
    <w:rsid w:val="5BE60696"/>
    <w:rsid w:val="5DD75893"/>
    <w:rsid w:val="5DF21DFA"/>
    <w:rsid w:val="66235889"/>
    <w:rsid w:val="6BD5421F"/>
    <w:rsid w:val="6FD7D3D9"/>
    <w:rsid w:val="771440E1"/>
    <w:rsid w:val="7DFFEDE5"/>
    <w:rsid w:val="E9DD378B"/>
    <w:rsid w:val="F6EC35F7"/>
    <w:rsid w:val="F7FF75EC"/>
    <w:rsid w:val="FBA5C9FB"/>
    <w:rsid w:val="FFDB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标准文件_二级无标题"/>
    <w:basedOn w:val="9"/>
    <w:qFormat/>
    <w:uiPriority w:val="0"/>
    <w:pPr>
      <w:spacing w:beforeLines="0" w:afterLines="0"/>
      <w:outlineLvl w:val="9"/>
    </w:pPr>
    <w:rPr>
      <w:rFonts w:ascii="宋体" w:eastAsia="宋体"/>
    </w:rPr>
  </w:style>
  <w:style w:type="paragraph" w:customStyle="1" w:styleId="9">
    <w:name w:val="标准文件_二级条标题"/>
    <w:next w:val="10"/>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页眉 Char"/>
    <w:basedOn w:val="7"/>
    <w:link w:val="5"/>
    <w:qFormat/>
    <w:uiPriority w:val="0"/>
    <w:rPr>
      <w:rFonts w:ascii="Times New Roman" w:hAnsi="Times New Roman" w:eastAsia="宋体" w:cs="Times New Roman"/>
      <w:kern w:val="2"/>
      <w:sz w:val="18"/>
      <w:szCs w:val="18"/>
    </w:rPr>
  </w:style>
  <w:style w:type="character" w:customStyle="1" w:styleId="12">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10</Pages>
  <Words>948</Words>
  <Characters>5406</Characters>
  <Lines>45</Lines>
  <Paragraphs>12</Paragraphs>
  <TotalTime>0</TotalTime>
  <ScaleCrop>false</ScaleCrop>
  <LinksUpToDate>false</LinksUpToDate>
  <CharactersWithSpaces>6342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2023-09-02T03:04:00Z</dcterms:created>
  <dc:creator>scjgj</dc:creator>
  <cp:lastModifiedBy>沙仑水仙</cp:lastModifiedBy>
  <dcterms:modified xsi:type="dcterms:W3CDTF">2023-12-05T09:04:05Z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C2CA4599E8B44B508971362C2EE7CB0F_12</vt:lpwstr>
  </property>
</Properties>
</file>